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C85" w:rsidRDefault="00D32C85" w:rsidP="0093514E">
      <w:pPr>
        <w:pStyle w:val="TOCHeading"/>
      </w:pPr>
      <w:r>
        <w:t>Table of Contents</w:t>
      </w:r>
      <w:r w:rsidR="00C5388B">
        <w:tab/>
      </w:r>
    </w:p>
    <w:bookmarkStart w:id="0" w:name="_Toc191975033"/>
    <w:bookmarkStart w:id="1" w:name="_Toc225643383"/>
    <w:bookmarkStart w:id="2" w:name="_Toc233444230"/>
    <w:bookmarkStart w:id="3" w:name="_Toc234210152"/>
    <w:bookmarkStart w:id="4" w:name="_Toc245728530"/>
    <w:bookmarkStart w:id="5" w:name="_Toc245892590"/>
    <w:p w:rsidR="009D047F" w:rsidRDefault="00610D3A">
      <w:pPr>
        <w:pStyle w:val="TOC2"/>
        <w:rPr>
          <w:rFonts w:asciiTheme="minorHAnsi" w:eastAsiaTheme="minorEastAsia" w:hAnsiTheme="minorHAnsi" w:cstheme="minorBidi"/>
          <w:sz w:val="22"/>
          <w:szCs w:val="22"/>
        </w:rPr>
      </w:pPr>
      <w:r w:rsidRPr="00610D3A">
        <w:fldChar w:fldCharType="begin"/>
      </w:r>
      <w:r w:rsidR="00D32C85">
        <w:instrText xml:space="preserve"> TOC \h \z \t "Heading 1,2,Heading 2,3,Heading 3,4,Heading 4,5,Title,1,Table of Authorities,1,Table of Figures,1,List of ...,1" </w:instrText>
      </w:r>
      <w:r w:rsidRPr="00610D3A">
        <w:fldChar w:fldCharType="separate"/>
      </w:r>
      <w:hyperlink w:anchor="_Toc352766918" w:history="1">
        <w:r w:rsidR="009D047F" w:rsidRPr="000A0211">
          <w:rPr>
            <w:rStyle w:val="Hyperlink"/>
          </w:rPr>
          <w:t>List of Tables</w:t>
        </w:r>
        <w:r w:rsidR="009D047F">
          <w:rPr>
            <w:webHidden/>
          </w:rPr>
          <w:tab/>
        </w:r>
        <w:r>
          <w:rPr>
            <w:webHidden/>
          </w:rPr>
          <w:fldChar w:fldCharType="begin"/>
        </w:r>
        <w:r w:rsidR="009D047F">
          <w:rPr>
            <w:webHidden/>
          </w:rPr>
          <w:instrText xml:space="preserve"> PAGEREF _Toc352766918 \h </w:instrText>
        </w:r>
        <w:r>
          <w:rPr>
            <w:webHidden/>
          </w:rPr>
        </w:r>
        <w:r>
          <w:rPr>
            <w:webHidden/>
          </w:rPr>
          <w:fldChar w:fldCharType="separate"/>
        </w:r>
        <w:r w:rsidR="009D047F">
          <w:rPr>
            <w:webHidden/>
          </w:rPr>
          <w:t>iii</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19" w:history="1">
        <w:r w:rsidR="009D047F" w:rsidRPr="000A0211">
          <w:rPr>
            <w:rStyle w:val="Hyperlink"/>
          </w:rPr>
          <w:t>List of Figures</w:t>
        </w:r>
        <w:r w:rsidR="009D047F">
          <w:rPr>
            <w:webHidden/>
          </w:rPr>
          <w:tab/>
        </w:r>
        <w:r>
          <w:rPr>
            <w:webHidden/>
          </w:rPr>
          <w:fldChar w:fldCharType="begin"/>
        </w:r>
        <w:r w:rsidR="009D047F">
          <w:rPr>
            <w:webHidden/>
          </w:rPr>
          <w:instrText xml:space="preserve"> PAGEREF _Toc352766919 \h </w:instrText>
        </w:r>
        <w:r>
          <w:rPr>
            <w:webHidden/>
          </w:rPr>
        </w:r>
        <w:r>
          <w:rPr>
            <w:webHidden/>
          </w:rPr>
          <w:fldChar w:fldCharType="separate"/>
        </w:r>
        <w:r w:rsidR="009D047F">
          <w:rPr>
            <w:webHidden/>
          </w:rPr>
          <w:t>iii</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20" w:history="1">
        <w:r w:rsidR="009D047F" w:rsidRPr="000A0211">
          <w:rPr>
            <w:rStyle w:val="Hyperlink"/>
          </w:rPr>
          <w:t>List of Appendices</w:t>
        </w:r>
        <w:r w:rsidR="009D047F">
          <w:rPr>
            <w:webHidden/>
          </w:rPr>
          <w:tab/>
        </w:r>
        <w:r>
          <w:rPr>
            <w:webHidden/>
          </w:rPr>
          <w:fldChar w:fldCharType="begin"/>
        </w:r>
        <w:r w:rsidR="009D047F">
          <w:rPr>
            <w:webHidden/>
          </w:rPr>
          <w:instrText xml:space="preserve"> PAGEREF _Toc352766920 \h </w:instrText>
        </w:r>
        <w:r>
          <w:rPr>
            <w:webHidden/>
          </w:rPr>
        </w:r>
        <w:r>
          <w:rPr>
            <w:webHidden/>
          </w:rPr>
          <w:fldChar w:fldCharType="separate"/>
        </w:r>
        <w:r w:rsidR="009D047F">
          <w:rPr>
            <w:webHidden/>
          </w:rPr>
          <w:t>iii</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21" w:history="1">
        <w:r w:rsidR="009D047F" w:rsidRPr="000A0211">
          <w:rPr>
            <w:rStyle w:val="Hyperlink"/>
          </w:rPr>
          <w:t>List of Attachments</w:t>
        </w:r>
        <w:r w:rsidR="009D047F">
          <w:rPr>
            <w:webHidden/>
          </w:rPr>
          <w:tab/>
        </w:r>
        <w:r>
          <w:rPr>
            <w:webHidden/>
          </w:rPr>
          <w:fldChar w:fldCharType="begin"/>
        </w:r>
        <w:r w:rsidR="009D047F">
          <w:rPr>
            <w:webHidden/>
          </w:rPr>
          <w:instrText xml:space="preserve"> PAGEREF _Toc352766921 \h </w:instrText>
        </w:r>
        <w:r>
          <w:rPr>
            <w:webHidden/>
          </w:rPr>
        </w:r>
        <w:r>
          <w:rPr>
            <w:webHidden/>
          </w:rPr>
          <w:fldChar w:fldCharType="separate"/>
        </w:r>
        <w:r w:rsidR="009D047F">
          <w:rPr>
            <w:webHidden/>
          </w:rPr>
          <w:t>iii</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22" w:history="1">
        <w:r w:rsidR="009D047F" w:rsidRPr="000A0211">
          <w:rPr>
            <w:rStyle w:val="Hyperlink"/>
          </w:rPr>
          <w:t>Closure Certification</w:t>
        </w:r>
        <w:r w:rsidR="009D047F">
          <w:rPr>
            <w:webHidden/>
          </w:rPr>
          <w:tab/>
        </w:r>
        <w:r>
          <w:rPr>
            <w:webHidden/>
          </w:rPr>
          <w:fldChar w:fldCharType="begin"/>
        </w:r>
        <w:r w:rsidR="009D047F">
          <w:rPr>
            <w:webHidden/>
          </w:rPr>
          <w:instrText xml:space="preserve"> PAGEREF _Toc352766922 \h </w:instrText>
        </w:r>
        <w:r>
          <w:rPr>
            <w:webHidden/>
          </w:rPr>
        </w:r>
        <w:r>
          <w:rPr>
            <w:webHidden/>
          </w:rPr>
          <w:fldChar w:fldCharType="separate"/>
        </w:r>
        <w:r w:rsidR="009D047F">
          <w:rPr>
            <w:webHidden/>
          </w:rPr>
          <w:t>v</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23" w:history="1">
        <w:r w:rsidR="009D047F" w:rsidRPr="000A0211">
          <w:rPr>
            <w:rStyle w:val="Hyperlink"/>
          </w:rPr>
          <w:t>Professional Engineer’s Certification</w:t>
        </w:r>
        <w:r w:rsidR="009D047F">
          <w:rPr>
            <w:webHidden/>
          </w:rPr>
          <w:tab/>
        </w:r>
        <w:r>
          <w:rPr>
            <w:webHidden/>
          </w:rPr>
          <w:fldChar w:fldCharType="begin"/>
        </w:r>
        <w:r w:rsidR="009D047F">
          <w:rPr>
            <w:webHidden/>
          </w:rPr>
          <w:instrText xml:space="preserve"> PAGEREF _Toc352766923 \h </w:instrText>
        </w:r>
        <w:r>
          <w:rPr>
            <w:webHidden/>
          </w:rPr>
        </w:r>
        <w:r>
          <w:rPr>
            <w:webHidden/>
          </w:rPr>
          <w:fldChar w:fldCharType="separate"/>
        </w:r>
        <w:r w:rsidR="009D047F">
          <w:rPr>
            <w:webHidden/>
          </w:rPr>
          <w:t>v</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24" w:history="1">
        <w:r w:rsidR="009D047F" w:rsidRPr="000A0211">
          <w:rPr>
            <w:rStyle w:val="Hyperlink"/>
          </w:rPr>
          <w:t>Owner's Certification</w:t>
        </w:r>
        <w:r w:rsidR="009D047F">
          <w:rPr>
            <w:webHidden/>
          </w:rPr>
          <w:tab/>
        </w:r>
        <w:r>
          <w:rPr>
            <w:webHidden/>
          </w:rPr>
          <w:fldChar w:fldCharType="begin"/>
        </w:r>
        <w:r w:rsidR="009D047F">
          <w:rPr>
            <w:webHidden/>
          </w:rPr>
          <w:instrText xml:space="preserve"> PAGEREF _Toc352766924 \h </w:instrText>
        </w:r>
        <w:r>
          <w:rPr>
            <w:webHidden/>
          </w:rPr>
        </w:r>
        <w:r>
          <w:rPr>
            <w:webHidden/>
          </w:rPr>
          <w:fldChar w:fldCharType="separate"/>
        </w:r>
        <w:r w:rsidR="009D047F">
          <w:rPr>
            <w:webHidden/>
          </w:rPr>
          <w:t>vi</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25" w:history="1">
        <w:r w:rsidR="009D047F" w:rsidRPr="000A0211">
          <w:rPr>
            <w:rStyle w:val="Hyperlink"/>
          </w:rPr>
          <w:t>1 Introduction</w:t>
        </w:r>
        <w:r w:rsidR="009D047F">
          <w:rPr>
            <w:webHidden/>
          </w:rPr>
          <w:tab/>
        </w:r>
        <w:r>
          <w:rPr>
            <w:webHidden/>
          </w:rPr>
          <w:fldChar w:fldCharType="begin"/>
        </w:r>
        <w:r w:rsidR="009D047F">
          <w:rPr>
            <w:webHidden/>
          </w:rPr>
          <w:instrText xml:space="preserve"> PAGEREF _Toc352766925 \h </w:instrText>
        </w:r>
        <w:r>
          <w:rPr>
            <w:webHidden/>
          </w:rPr>
        </w:r>
        <w:r>
          <w:rPr>
            <w:webHidden/>
          </w:rPr>
          <w:fldChar w:fldCharType="separate"/>
        </w:r>
        <w:r w:rsidR="009D047F">
          <w:rPr>
            <w:webHidden/>
          </w:rPr>
          <w:t>1</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26" w:history="1">
        <w:r w:rsidR="009D047F" w:rsidRPr="000A0211">
          <w:rPr>
            <w:rStyle w:val="Hyperlink"/>
          </w:rPr>
          <w:t>1.1 Site History</w:t>
        </w:r>
        <w:r w:rsidR="009D047F">
          <w:rPr>
            <w:webHidden/>
          </w:rPr>
          <w:tab/>
        </w:r>
        <w:r>
          <w:rPr>
            <w:webHidden/>
          </w:rPr>
          <w:fldChar w:fldCharType="begin"/>
        </w:r>
        <w:r w:rsidR="009D047F">
          <w:rPr>
            <w:webHidden/>
          </w:rPr>
          <w:instrText xml:space="preserve"> PAGEREF _Toc352766926 \h </w:instrText>
        </w:r>
        <w:r>
          <w:rPr>
            <w:webHidden/>
          </w:rPr>
        </w:r>
        <w:r>
          <w:rPr>
            <w:webHidden/>
          </w:rPr>
          <w:fldChar w:fldCharType="separate"/>
        </w:r>
        <w:r w:rsidR="009D047F">
          <w:rPr>
            <w:webHidden/>
          </w:rPr>
          <w:t>1</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27" w:history="1">
        <w:r w:rsidR="009D047F" w:rsidRPr="000A0211">
          <w:rPr>
            <w:rStyle w:val="Hyperlink"/>
          </w:rPr>
          <w:t>1.1.1 Site Description</w:t>
        </w:r>
        <w:r w:rsidR="009D047F">
          <w:rPr>
            <w:webHidden/>
          </w:rPr>
          <w:tab/>
        </w:r>
        <w:r>
          <w:rPr>
            <w:webHidden/>
          </w:rPr>
          <w:fldChar w:fldCharType="begin"/>
        </w:r>
        <w:r w:rsidR="009D047F">
          <w:rPr>
            <w:webHidden/>
          </w:rPr>
          <w:instrText xml:space="preserve"> PAGEREF _Toc352766927 \h </w:instrText>
        </w:r>
        <w:r>
          <w:rPr>
            <w:webHidden/>
          </w:rPr>
        </w:r>
        <w:r>
          <w:rPr>
            <w:webHidden/>
          </w:rPr>
          <w:fldChar w:fldCharType="separate"/>
        </w:r>
        <w:r w:rsidR="009D047F">
          <w:rPr>
            <w:webHidden/>
          </w:rPr>
          <w:t>1</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28" w:history="1">
        <w:r w:rsidR="009D047F" w:rsidRPr="000A0211">
          <w:rPr>
            <w:rStyle w:val="Hyperlink"/>
          </w:rPr>
          <w:t>1.1.2 Site Ownership</w:t>
        </w:r>
        <w:r w:rsidR="009D047F">
          <w:rPr>
            <w:webHidden/>
          </w:rPr>
          <w:tab/>
        </w:r>
        <w:r>
          <w:rPr>
            <w:webHidden/>
          </w:rPr>
          <w:fldChar w:fldCharType="begin"/>
        </w:r>
        <w:r w:rsidR="009D047F">
          <w:rPr>
            <w:webHidden/>
          </w:rPr>
          <w:instrText xml:space="preserve"> PAGEREF _Toc352766928 \h </w:instrText>
        </w:r>
        <w:r>
          <w:rPr>
            <w:webHidden/>
          </w:rPr>
        </w:r>
        <w:r>
          <w:rPr>
            <w:webHidden/>
          </w:rPr>
          <w:fldChar w:fldCharType="separate"/>
        </w:r>
        <w:r w:rsidR="009D047F">
          <w:rPr>
            <w:webHidden/>
          </w:rPr>
          <w:t>1</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29" w:history="1">
        <w:r w:rsidR="009D047F" w:rsidRPr="000A0211">
          <w:rPr>
            <w:rStyle w:val="Hyperlink"/>
          </w:rPr>
          <w:t>1.1.3 RCRA Closure</w:t>
        </w:r>
        <w:r w:rsidR="009D047F">
          <w:rPr>
            <w:webHidden/>
          </w:rPr>
          <w:tab/>
        </w:r>
        <w:r>
          <w:rPr>
            <w:webHidden/>
          </w:rPr>
          <w:fldChar w:fldCharType="begin"/>
        </w:r>
        <w:r w:rsidR="009D047F">
          <w:rPr>
            <w:webHidden/>
          </w:rPr>
          <w:instrText xml:space="preserve"> PAGEREF _Toc352766929 \h </w:instrText>
        </w:r>
        <w:r>
          <w:rPr>
            <w:webHidden/>
          </w:rPr>
        </w:r>
        <w:r>
          <w:rPr>
            <w:webHidden/>
          </w:rPr>
          <w:fldChar w:fldCharType="separate"/>
        </w:r>
        <w:r w:rsidR="009D047F">
          <w:rPr>
            <w:webHidden/>
          </w:rPr>
          <w:t>1</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30" w:history="1">
        <w:r w:rsidR="009D047F" w:rsidRPr="000A0211">
          <w:rPr>
            <w:rStyle w:val="Hyperlink"/>
          </w:rPr>
          <w:t>1.2 Former Wastewater Treatment Plant Background</w:t>
        </w:r>
        <w:r w:rsidR="009D047F">
          <w:rPr>
            <w:webHidden/>
          </w:rPr>
          <w:tab/>
        </w:r>
        <w:r>
          <w:rPr>
            <w:webHidden/>
          </w:rPr>
          <w:fldChar w:fldCharType="begin"/>
        </w:r>
        <w:r w:rsidR="009D047F">
          <w:rPr>
            <w:webHidden/>
          </w:rPr>
          <w:instrText xml:space="preserve"> PAGEREF _Toc352766930 \h </w:instrText>
        </w:r>
        <w:r>
          <w:rPr>
            <w:webHidden/>
          </w:rPr>
        </w:r>
        <w:r>
          <w:rPr>
            <w:webHidden/>
          </w:rPr>
          <w:fldChar w:fldCharType="separate"/>
        </w:r>
        <w:r w:rsidR="009D047F">
          <w:rPr>
            <w:webHidden/>
          </w:rPr>
          <w:t>2</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31" w:history="1">
        <w:r w:rsidR="009D047F" w:rsidRPr="000A0211">
          <w:rPr>
            <w:rStyle w:val="Hyperlink"/>
          </w:rPr>
          <w:t>1.2.1 Basin Investigation Report</w:t>
        </w:r>
        <w:r w:rsidR="009D047F">
          <w:rPr>
            <w:webHidden/>
          </w:rPr>
          <w:tab/>
        </w:r>
        <w:r>
          <w:rPr>
            <w:webHidden/>
          </w:rPr>
          <w:fldChar w:fldCharType="begin"/>
        </w:r>
        <w:r w:rsidR="009D047F">
          <w:rPr>
            <w:webHidden/>
          </w:rPr>
          <w:instrText xml:space="preserve"> PAGEREF _Toc352766931 \h </w:instrText>
        </w:r>
        <w:r>
          <w:rPr>
            <w:webHidden/>
          </w:rPr>
        </w:r>
        <w:r>
          <w:rPr>
            <w:webHidden/>
          </w:rPr>
          <w:fldChar w:fldCharType="separate"/>
        </w:r>
        <w:r w:rsidR="009D047F">
          <w:rPr>
            <w:webHidden/>
          </w:rPr>
          <w:t>3</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2" w:history="1">
        <w:r w:rsidR="009D047F" w:rsidRPr="000A0211">
          <w:rPr>
            <w:rStyle w:val="Hyperlink"/>
          </w:rPr>
          <w:t>Soil</w:t>
        </w:r>
        <w:r w:rsidR="009D047F">
          <w:rPr>
            <w:webHidden/>
          </w:rPr>
          <w:tab/>
        </w:r>
        <w:r>
          <w:rPr>
            <w:webHidden/>
          </w:rPr>
          <w:fldChar w:fldCharType="begin"/>
        </w:r>
        <w:r w:rsidR="009D047F">
          <w:rPr>
            <w:webHidden/>
          </w:rPr>
          <w:instrText xml:space="preserve"> PAGEREF _Toc352766932 \h </w:instrText>
        </w:r>
        <w:r>
          <w:rPr>
            <w:webHidden/>
          </w:rPr>
        </w:r>
        <w:r>
          <w:rPr>
            <w:webHidden/>
          </w:rPr>
          <w:fldChar w:fldCharType="separate"/>
        </w:r>
        <w:r w:rsidR="009D047F">
          <w:rPr>
            <w:webHidden/>
          </w:rPr>
          <w:t>3</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3" w:history="1">
        <w:r w:rsidR="009D047F" w:rsidRPr="000A0211">
          <w:rPr>
            <w:rStyle w:val="Hyperlink"/>
          </w:rPr>
          <w:t>Groundwater</w:t>
        </w:r>
        <w:r w:rsidR="009D047F">
          <w:rPr>
            <w:webHidden/>
          </w:rPr>
          <w:tab/>
        </w:r>
        <w:r>
          <w:rPr>
            <w:webHidden/>
          </w:rPr>
          <w:fldChar w:fldCharType="begin"/>
        </w:r>
        <w:r w:rsidR="009D047F">
          <w:rPr>
            <w:webHidden/>
          </w:rPr>
          <w:instrText xml:space="preserve"> PAGEREF _Toc352766933 \h </w:instrText>
        </w:r>
        <w:r>
          <w:rPr>
            <w:webHidden/>
          </w:rPr>
        </w:r>
        <w:r>
          <w:rPr>
            <w:webHidden/>
          </w:rPr>
          <w:fldChar w:fldCharType="separate"/>
        </w:r>
        <w:r w:rsidR="009D047F">
          <w:rPr>
            <w:webHidden/>
          </w:rPr>
          <w:t>4</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34" w:history="1">
        <w:r w:rsidR="009D047F" w:rsidRPr="000A0211">
          <w:rPr>
            <w:rStyle w:val="Hyperlink"/>
          </w:rPr>
          <w:t>1.2.2 2008 Addendum Report</w:t>
        </w:r>
        <w:r w:rsidR="009D047F">
          <w:rPr>
            <w:webHidden/>
          </w:rPr>
          <w:tab/>
        </w:r>
        <w:r>
          <w:rPr>
            <w:webHidden/>
          </w:rPr>
          <w:fldChar w:fldCharType="begin"/>
        </w:r>
        <w:r w:rsidR="009D047F">
          <w:rPr>
            <w:webHidden/>
          </w:rPr>
          <w:instrText xml:space="preserve"> PAGEREF _Toc352766934 \h </w:instrText>
        </w:r>
        <w:r>
          <w:rPr>
            <w:webHidden/>
          </w:rPr>
        </w:r>
        <w:r>
          <w:rPr>
            <w:webHidden/>
          </w:rPr>
          <w:fldChar w:fldCharType="separate"/>
        </w:r>
        <w:r w:rsidR="009D047F">
          <w:rPr>
            <w:webHidden/>
          </w:rPr>
          <w:t>4</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5" w:history="1">
        <w:r w:rsidR="009D047F" w:rsidRPr="000A0211">
          <w:rPr>
            <w:rStyle w:val="Hyperlink"/>
          </w:rPr>
          <w:t>Summary of Subsurface Conditions</w:t>
        </w:r>
        <w:r w:rsidR="009D047F">
          <w:rPr>
            <w:webHidden/>
          </w:rPr>
          <w:tab/>
        </w:r>
        <w:r>
          <w:rPr>
            <w:webHidden/>
          </w:rPr>
          <w:fldChar w:fldCharType="begin"/>
        </w:r>
        <w:r w:rsidR="009D047F">
          <w:rPr>
            <w:webHidden/>
          </w:rPr>
          <w:instrText xml:space="preserve"> PAGEREF _Toc352766935 \h </w:instrText>
        </w:r>
        <w:r>
          <w:rPr>
            <w:webHidden/>
          </w:rPr>
        </w:r>
        <w:r>
          <w:rPr>
            <w:webHidden/>
          </w:rPr>
          <w:fldChar w:fldCharType="separate"/>
        </w:r>
        <w:r w:rsidR="009D047F">
          <w:rPr>
            <w:webHidden/>
          </w:rPr>
          <w:t>5</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6" w:history="1">
        <w:r w:rsidR="009D047F" w:rsidRPr="000A0211">
          <w:rPr>
            <w:rStyle w:val="Hyperlink"/>
          </w:rPr>
          <w:t>First Quarter Groundwater Sampling Results</w:t>
        </w:r>
        <w:r w:rsidR="009D047F">
          <w:rPr>
            <w:webHidden/>
          </w:rPr>
          <w:tab/>
        </w:r>
        <w:r>
          <w:rPr>
            <w:webHidden/>
          </w:rPr>
          <w:fldChar w:fldCharType="begin"/>
        </w:r>
        <w:r w:rsidR="009D047F">
          <w:rPr>
            <w:webHidden/>
          </w:rPr>
          <w:instrText xml:space="preserve"> PAGEREF _Toc352766936 \h </w:instrText>
        </w:r>
        <w:r>
          <w:rPr>
            <w:webHidden/>
          </w:rPr>
        </w:r>
        <w:r>
          <w:rPr>
            <w:webHidden/>
          </w:rPr>
          <w:fldChar w:fldCharType="separate"/>
        </w:r>
        <w:r w:rsidR="009D047F">
          <w:rPr>
            <w:webHidden/>
          </w:rPr>
          <w:t>5</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7" w:history="1">
        <w:r w:rsidR="009D047F" w:rsidRPr="000A0211">
          <w:rPr>
            <w:rStyle w:val="Hyperlink"/>
          </w:rPr>
          <w:t>Second Quarter Groundwater Sampling Results</w:t>
        </w:r>
        <w:r w:rsidR="009D047F">
          <w:rPr>
            <w:webHidden/>
          </w:rPr>
          <w:tab/>
        </w:r>
        <w:r>
          <w:rPr>
            <w:webHidden/>
          </w:rPr>
          <w:fldChar w:fldCharType="begin"/>
        </w:r>
        <w:r w:rsidR="009D047F">
          <w:rPr>
            <w:webHidden/>
          </w:rPr>
          <w:instrText xml:space="preserve"> PAGEREF _Toc352766937 \h </w:instrText>
        </w:r>
        <w:r>
          <w:rPr>
            <w:webHidden/>
          </w:rPr>
        </w:r>
        <w:r>
          <w:rPr>
            <w:webHidden/>
          </w:rPr>
          <w:fldChar w:fldCharType="separate"/>
        </w:r>
        <w:r w:rsidR="009D047F">
          <w:rPr>
            <w:webHidden/>
          </w:rPr>
          <w:t>6</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8" w:history="1">
        <w:r w:rsidR="009D047F" w:rsidRPr="000A0211">
          <w:rPr>
            <w:rStyle w:val="Hyperlink"/>
          </w:rPr>
          <w:t>Third Quarter Groundwater Sampling Results</w:t>
        </w:r>
        <w:r w:rsidR="009D047F">
          <w:rPr>
            <w:webHidden/>
          </w:rPr>
          <w:tab/>
        </w:r>
        <w:r>
          <w:rPr>
            <w:webHidden/>
          </w:rPr>
          <w:fldChar w:fldCharType="begin"/>
        </w:r>
        <w:r w:rsidR="009D047F">
          <w:rPr>
            <w:webHidden/>
          </w:rPr>
          <w:instrText xml:space="preserve"> PAGEREF _Toc352766938 \h </w:instrText>
        </w:r>
        <w:r>
          <w:rPr>
            <w:webHidden/>
          </w:rPr>
        </w:r>
        <w:r>
          <w:rPr>
            <w:webHidden/>
          </w:rPr>
          <w:fldChar w:fldCharType="separate"/>
        </w:r>
        <w:r w:rsidR="009D047F">
          <w:rPr>
            <w:webHidden/>
          </w:rPr>
          <w:t>6</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39" w:history="1">
        <w:r w:rsidR="009D047F" w:rsidRPr="000A0211">
          <w:rPr>
            <w:rStyle w:val="Hyperlink"/>
          </w:rPr>
          <w:t>Fourth Quarter Groundwater Sampling Results</w:t>
        </w:r>
        <w:r w:rsidR="009D047F">
          <w:rPr>
            <w:webHidden/>
          </w:rPr>
          <w:tab/>
        </w:r>
        <w:r>
          <w:rPr>
            <w:webHidden/>
          </w:rPr>
          <w:fldChar w:fldCharType="begin"/>
        </w:r>
        <w:r w:rsidR="009D047F">
          <w:rPr>
            <w:webHidden/>
          </w:rPr>
          <w:instrText xml:space="preserve"> PAGEREF _Toc352766939 \h </w:instrText>
        </w:r>
        <w:r>
          <w:rPr>
            <w:webHidden/>
          </w:rPr>
        </w:r>
        <w:r>
          <w:rPr>
            <w:webHidden/>
          </w:rPr>
          <w:fldChar w:fldCharType="separate"/>
        </w:r>
        <w:r w:rsidR="009D047F">
          <w:rPr>
            <w:webHidden/>
          </w:rPr>
          <w:t>7</w:t>
        </w:r>
        <w:r>
          <w:rPr>
            <w:webHidden/>
          </w:rPr>
          <w:fldChar w:fldCharType="end"/>
        </w:r>
      </w:hyperlink>
    </w:p>
    <w:p w:rsidR="009D047F" w:rsidRDefault="00610D3A">
      <w:pPr>
        <w:pStyle w:val="TOC5"/>
        <w:rPr>
          <w:rFonts w:asciiTheme="minorHAnsi" w:eastAsiaTheme="minorEastAsia" w:hAnsiTheme="minorHAnsi" w:cstheme="minorBidi"/>
          <w:sz w:val="22"/>
          <w:szCs w:val="22"/>
        </w:rPr>
      </w:pPr>
      <w:hyperlink w:anchor="_Toc352766940" w:history="1">
        <w:r w:rsidR="009D047F" w:rsidRPr="000A0211">
          <w:rPr>
            <w:rStyle w:val="Hyperlink"/>
          </w:rPr>
          <w:t>2008 Addendum Report Conclusion</w:t>
        </w:r>
        <w:r w:rsidR="009D047F">
          <w:rPr>
            <w:webHidden/>
          </w:rPr>
          <w:tab/>
        </w:r>
        <w:r>
          <w:rPr>
            <w:webHidden/>
          </w:rPr>
          <w:fldChar w:fldCharType="begin"/>
        </w:r>
        <w:r w:rsidR="009D047F">
          <w:rPr>
            <w:webHidden/>
          </w:rPr>
          <w:instrText xml:space="preserve"> PAGEREF _Toc352766940 \h </w:instrText>
        </w:r>
        <w:r>
          <w:rPr>
            <w:webHidden/>
          </w:rPr>
        </w:r>
        <w:r>
          <w:rPr>
            <w:webHidden/>
          </w:rPr>
          <w:fldChar w:fldCharType="separate"/>
        </w:r>
        <w:r w:rsidR="009D047F">
          <w:rPr>
            <w:webHidden/>
          </w:rPr>
          <w:t>7</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41" w:history="1">
        <w:r w:rsidR="009D047F" w:rsidRPr="000A0211">
          <w:rPr>
            <w:rStyle w:val="Hyperlink"/>
          </w:rPr>
          <w:t>1.2.3 Facility Response to MDEQ Comments to the 2008 Addendum Report</w:t>
        </w:r>
        <w:r w:rsidR="009D047F">
          <w:rPr>
            <w:webHidden/>
          </w:rPr>
          <w:tab/>
        </w:r>
        <w:r>
          <w:rPr>
            <w:webHidden/>
          </w:rPr>
          <w:fldChar w:fldCharType="begin"/>
        </w:r>
        <w:r w:rsidR="009D047F">
          <w:rPr>
            <w:webHidden/>
          </w:rPr>
          <w:instrText xml:space="preserve"> PAGEREF _Toc352766941 \h </w:instrText>
        </w:r>
        <w:r>
          <w:rPr>
            <w:webHidden/>
          </w:rPr>
        </w:r>
        <w:r>
          <w:rPr>
            <w:webHidden/>
          </w:rPr>
          <w:fldChar w:fldCharType="separate"/>
        </w:r>
        <w:r w:rsidR="009D047F">
          <w:rPr>
            <w:webHidden/>
          </w:rPr>
          <w:t>7</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42" w:history="1">
        <w:r w:rsidR="009D047F" w:rsidRPr="000A0211">
          <w:rPr>
            <w:rStyle w:val="Hyperlink"/>
          </w:rPr>
          <w:t>1.3 Contaminant Distribution</w:t>
        </w:r>
        <w:r w:rsidR="009D047F">
          <w:rPr>
            <w:webHidden/>
          </w:rPr>
          <w:tab/>
        </w:r>
        <w:r>
          <w:rPr>
            <w:webHidden/>
          </w:rPr>
          <w:fldChar w:fldCharType="begin"/>
        </w:r>
        <w:r w:rsidR="009D047F">
          <w:rPr>
            <w:webHidden/>
          </w:rPr>
          <w:instrText xml:space="preserve"> PAGEREF _Toc352766942 \h </w:instrText>
        </w:r>
        <w:r>
          <w:rPr>
            <w:webHidden/>
          </w:rPr>
        </w:r>
        <w:r>
          <w:rPr>
            <w:webHidden/>
          </w:rPr>
          <w:fldChar w:fldCharType="separate"/>
        </w:r>
        <w:r w:rsidR="009D047F">
          <w:rPr>
            <w:webHidden/>
          </w:rPr>
          <w:t>9</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43" w:history="1">
        <w:r w:rsidR="009D047F" w:rsidRPr="000A0211">
          <w:rPr>
            <w:rStyle w:val="Hyperlink"/>
          </w:rPr>
          <w:t>1.4 Applicable Closure Criteria</w:t>
        </w:r>
        <w:r w:rsidR="009D047F">
          <w:rPr>
            <w:webHidden/>
          </w:rPr>
          <w:tab/>
        </w:r>
        <w:r>
          <w:rPr>
            <w:webHidden/>
          </w:rPr>
          <w:fldChar w:fldCharType="begin"/>
        </w:r>
        <w:r w:rsidR="009D047F">
          <w:rPr>
            <w:webHidden/>
          </w:rPr>
          <w:instrText xml:space="preserve"> PAGEREF _Toc352766943 \h </w:instrText>
        </w:r>
        <w:r>
          <w:rPr>
            <w:webHidden/>
          </w:rPr>
        </w:r>
        <w:r>
          <w:rPr>
            <w:webHidden/>
          </w:rPr>
          <w:fldChar w:fldCharType="separate"/>
        </w:r>
        <w:r w:rsidR="009D047F">
          <w:rPr>
            <w:webHidden/>
          </w:rPr>
          <w:t>9</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44" w:history="1">
        <w:r w:rsidR="009D047F" w:rsidRPr="000A0211">
          <w:rPr>
            <w:rStyle w:val="Hyperlink"/>
          </w:rPr>
          <w:t>2 Summary of Former WWTP Investigation</w:t>
        </w:r>
        <w:r w:rsidR="009D047F">
          <w:rPr>
            <w:webHidden/>
          </w:rPr>
          <w:tab/>
        </w:r>
        <w:r>
          <w:rPr>
            <w:webHidden/>
          </w:rPr>
          <w:fldChar w:fldCharType="begin"/>
        </w:r>
        <w:r w:rsidR="009D047F">
          <w:rPr>
            <w:webHidden/>
          </w:rPr>
          <w:instrText xml:space="preserve"> PAGEREF _Toc352766944 \h </w:instrText>
        </w:r>
        <w:r>
          <w:rPr>
            <w:webHidden/>
          </w:rPr>
        </w:r>
        <w:r>
          <w:rPr>
            <w:webHidden/>
          </w:rPr>
          <w:fldChar w:fldCharType="separate"/>
        </w:r>
        <w:r w:rsidR="009D047F">
          <w:rPr>
            <w:webHidden/>
          </w:rPr>
          <w:t>11</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45" w:history="1">
        <w:r w:rsidR="009D047F" w:rsidRPr="000A0211">
          <w:rPr>
            <w:rStyle w:val="Hyperlink"/>
          </w:rPr>
          <w:t>2.1 Monitoring Well Installation</w:t>
        </w:r>
        <w:r w:rsidR="009D047F">
          <w:rPr>
            <w:webHidden/>
          </w:rPr>
          <w:tab/>
        </w:r>
        <w:r>
          <w:rPr>
            <w:webHidden/>
          </w:rPr>
          <w:fldChar w:fldCharType="begin"/>
        </w:r>
        <w:r w:rsidR="009D047F">
          <w:rPr>
            <w:webHidden/>
          </w:rPr>
          <w:instrText xml:space="preserve"> PAGEREF _Toc352766945 \h </w:instrText>
        </w:r>
        <w:r>
          <w:rPr>
            <w:webHidden/>
          </w:rPr>
        </w:r>
        <w:r>
          <w:rPr>
            <w:webHidden/>
          </w:rPr>
          <w:fldChar w:fldCharType="separate"/>
        </w:r>
        <w:r w:rsidR="009D047F">
          <w:rPr>
            <w:webHidden/>
          </w:rPr>
          <w:t>11</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46" w:history="1">
        <w:r w:rsidR="009D047F" w:rsidRPr="000A0211">
          <w:rPr>
            <w:rStyle w:val="Hyperlink"/>
          </w:rPr>
          <w:t>2.2 Groundwater Sample Collection and Analysis</w:t>
        </w:r>
        <w:r w:rsidR="009D047F">
          <w:rPr>
            <w:webHidden/>
          </w:rPr>
          <w:tab/>
        </w:r>
        <w:r>
          <w:rPr>
            <w:webHidden/>
          </w:rPr>
          <w:fldChar w:fldCharType="begin"/>
        </w:r>
        <w:r w:rsidR="009D047F">
          <w:rPr>
            <w:webHidden/>
          </w:rPr>
          <w:instrText xml:space="preserve"> PAGEREF _Toc352766946 \h </w:instrText>
        </w:r>
        <w:r>
          <w:rPr>
            <w:webHidden/>
          </w:rPr>
        </w:r>
        <w:r>
          <w:rPr>
            <w:webHidden/>
          </w:rPr>
          <w:fldChar w:fldCharType="separate"/>
        </w:r>
        <w:r w:rsidR="009D047F">
          <w:rPr>
            <w:webHidden/>
          </w:rPr>
          <w:t>11</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47" w:history="1">
        <w:r w:rsidR="009D047F" w:rsidRPr="000A0211">
          <w:rPr>
            <w:rStyle w:val="Hyperlink"/>
          </w:rPr>
          <w:t>2.3 Data Validation</w:t>
        </w:r>
        <w:r w:rsidR="009D047F">
          <w:rPr>
            <w:webHidden/>
          </w:rPr>
          <w:tab/>
        </w:r>
        <w:r>
          <w:rPr>
            <w:webHidden/>
          </w:rPr>
          <w:fldChar w:fldCharType="begin"/>
        </w:r>
        <w:r w:rsidR="009D047F">
          <w:rPr>
            <w:webHidden/>
          </w:rPr>
          <w:instrText xml:space="preserve"> PAGEREF _Toc352766947 \h </w:instrText>
        </w:r>
        <w:r>
          <w:rPr>
            <w:webHidden/>
          </w:rPr>
        </w:r>
        <w:r>
          <w:rPr>
            <w:webHidden/>
          </w:rPr>
          <w:fldChar w:fldCharType="separate"/>
        </w:r>
        <w:r w:rsidR="009D047F">
          <w:rPr>
            <w:webHidden/>
          </w:rPr>
          <w:t>12</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48" w:history="1">
        <w:r w:rsidR="009D047F" w:rsidRPr="000A0211">
          <w:rPr>
            <w:rStyle w:val="Hyperlink"/>
          </w:rPr>
          <w:t>2.4 Investigation Results</w:t>
        </w:r>
        <w:r w:rsidR="009D047F">
          <w:rPr>
            <w:webHidden/>
          </w:rPr>
          <w:tab/>
        </w:r>
        <w:r>
          <w:rPr>
            <w:webHidden/>
          </w:rPr>
          <w:fldChar w:fldCharType="begin"/>
        </w:r>
        <w:r w:rsidR="009D047F">
          <w:rPr>
            <w:webHidden/>
          </w:rPr>
          <w:instrText xml:space="preserve"> PAGEREF _Toc352766948 \h </w:instrText>
        </w:r>
        <w:r>
          <w:rPr>
            <w:webHidden/>
          </w:rPr>
        </w:r>
        <w:r>
          <w:rPr>
            <w:webHidden/>
          </w:rPr>
          <w:fldChar w:fldCharType="separate"/>
        </w:r>
        <w:r w:rsidR="009D047F">
          <w:rPr>
            <w:webHidden/>
          </w:rPr>
          <w:t>13</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49" w:history="1">
        <w:r w:rsidR="009D047F" w:rsidRPr="000A0211">
          <w:rPr>
            <w:rStyle w:val="Hyperlink"/>
          </w:rPr>
          <w:t>2.4.1 Summary of Subsurface Conditions</w:t>
        </w:r>
        <w:r w:rsidR="009D047F">
          <w:rPr>
            <w:webHidden/>
          </w:rPr>
          <w:tab/>
        </w:r>
        <w:r>
          <w:rPr>
            <w:webHidden/>
          </w:rPr>
          <w:fldChar w:fldCharType="begin"/>
        </w:r>
        <w:r w:rsidR="009D047F">
          <w:rPr>
            <w:webHidden/>
          </w:rPr>
          <w:instrText xml:space="preserve"> PAGEREF _Toc352766949 \h </w:instrText>
        </w:r>
        <w:r>
          <w:rPr>
            <w:webHidden/>
          </w:rPr>
        </w:r>
        <w:r>
          <w:rPr>
            <w:webHidden/>
          </w:rPr>
          <w:fldChar w:fldCharType="separate"/>
        </w:r>
        <w:r w:rsidR="009D047F">
          <w:rPr>
            <w:webHidden/>
          </w:rPr>
          <w:t>13</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50" w:history="1">
        <w:r w:rsidR="009D047F" w:rsidRPr="000A0211">
          <w:rPr>
            <w:rStyle w:val="Hyperlink"/>
          </w:rPr>
          <w:t>2.4.2 First Quarter Groundwater Sampling Results</w:t>
        </w:r>
        <w:r w:rsidR="009D047F">
          <w:rPr>
            <w:webHidden/>
          </w:rPr>
          <w:tab/>
        </w:r>
        <w:r>
          <w:rPr>
            <w:webHidden/>
          </w:rPr>
          <w:fldChar w:fldCharType="begin"/>
        </w:r>
        <w:r w:rsidR="009D047F">
          <w:rPr>
            <w:webHidden/>
          </w:rPr>
          <w:instrText xml:space="preserve"> PAGEREF _Toc352766950 \h </w:instrText>
        </w:r>
        <w:r>
          <w:rPr>
            <w:webHidden/>
          </w:rPr>
        </w:r>
        <w:r>
          <w:rPr>
            <w:webHidden/>
          </w:rPr>
          <w:fldChar w:fldCharType="separate"/>
        </w:r>
        <w:r w:rsidR="009D047F">
          <w:rPr>
            <w:webHidden/>
          </w:rPr>
          <w:t>14</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51" w:history="1">
        <w:r w:rsidR="009D047F" w:rsidRPr="000A0211">
          <w:rPr>
            <w:rStyle w:val="Hyperlink"/>
          </w:rPr>
          <w:t>2.4.3 Second Quarter Groundwater Sampling Results</w:t>
        </w:r>
        <w:r w:rsidR="009D047F">
          <w:rPr>
            <w:webHidden/>
          </w:rPr>
          <w:tab/>
        </w:r>
        <w:r>
          <w:rPr>
            <w:webHidden/>
          </w:rPr>
          <w:fldChar w:fldCharType="begin"/>
        </w:r>
        <w:r w:rsidR="009D047F">
          <w:rPr>
            <w:webHidden/>
          </w:rPr>
          <w:instrText xml:space="preserve"> PAGEREF _Toc352766951 \h </w:instrText>
        </w:r>
        <w:r>
          <w:rPr>
            <w:webHidden/>
          </w:rPr>
        </w:r>
        <w:r>
          <w:rPr>
            <w:webHidden/>
          </w:rPr>
          <w:fldChar w:fldCharType="separate"/>
        </w:r>
        <w:r w:rsidR="009D047F">
          <w:rPr>
            <w:webHidden/>
          </w:rPr>
          <w:t>14</w:t>
        </w:r>
        <w:r>
          <w:rPr>
            <w:webHidden/>
          </w:rPr>
          <w:fldChar w:fldCharType="end"/>
        </w:r>
      </w:hyperlink>
    </w:p>
    <w:p w:rsidR="009D047F" w:rsidRDefault="00610D3A">
      <w:pPr>
        <w:pStyle w:val="TOC4"/>
        <w:rPr>
          <w:rFonts w:asciiTheme="minorHAnsi" w:eastAsiaTheme="minorEastAsia" w:hAnsiTheme="minorHAnsi" w:cstheme="minorBidi"/>
          <w:sz w:val="22"/>
          <w:szCs w:val="22"/>
        </w:rPr>
      </w:pPr>
      <w:hyperlink w:anchor="_Toc352766952" w:history="1">
        <w:r w:rsidR="009D047F" w:rsidRPr="000A0211">
          <w:rPr>
            <w:rStyle w:val="Hyperlink"/>
          </w:rPr>
          <w:t>2.4.4 Site-Specific Background Value for Manganese</w:t>
        </w:r>
        <w:r w:rsidR="009D047F">
          <w:rPr>
            <w:webHidden/>
          </w:rPr>
          <w:tab/>
        </w:r>
        <w:r>
          <w:rPr>
            <w:webHidden/>
          </w:rPr>
          <w:fldChar w:fldCharType="begin"/>
        </w:r>
        <w:r w:rsidR="009D047F">
          <w:rPr>
            <w:webHidden/>
          </w:rPr>
          <w:instrText xml:space="preserve"> PAGEREF _Toc352766952 \h </w:instrText>
        </w:r>
        <w:r>
          <w:rPr>
            <w:webHidden/>
          </w:rPr>
        </w:r>
        <w:r>
          <w:rPr>
            <w:webHidden/>
          </w:rPr>
          <w:fldChar w:fldCharType="separate"/>
        </w:r>
        <w:r w:rsidR="009D047F">
          <w:rPr>
            <w:webHidden/>
          </w:rPr>
          <w:t>14</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53" w:history="1">
        <w:r w:rsidR="009D047F" w:rsidRPr="000A0211">
          <w:rPr>
            <w:rStyle w:val="Hyperlink"/>
          </w:rPr>
          <w:t>3 Migration Pathway Evaluation</w:t>
        </w:r>
        <w:r w:rsidR="009D047F">
          <w:rPr>
            <w:webHidden/>
          </w:rPr>
          <w:tab/>
        </w:r>
        <w:r>
          <w:rPr>
            <w:webHidden/>
          </w:rPr>
          <w:fldChar w:fldCharType="begin"/>
        </w:r>
        <w:r w:rsidR="009D047F">
          <w:rPr>
            <w:webHidden/>
          </w:rPr>
          <w:instrText xml:space="preserve"> PAGEREF _Toc352766953 \h </w:instrText>
        </w:r>
        <w:r>
          <w:rPr>
            <w:webHidden/>
          </w:rPr>
        </w:r>
        <w:r>
          <w:rPr>
            <w:webHidden/>
          </w:rPr>
          <w:fldChar w:fldCharType="separate"/>
        </w:r>
        <w:r w:rsidR="009D047F">
          <w:rPr>
            <w:webHidden/>
          </w:rPr>
          <w:t>15</w:t>
        </w:r>
        <w:r>
          <w:rPr>
            <w:webHidden/>
          </w:rPr>
          <w:fldChar w:fldCharType="end"/>
        </w:r>
      </w:hyperlink>
    </w:p>
    <w:p w:rsidR="009D047F" w:rsidRDefault="00610D3A">
      <w:pPr>
        <w:pStyle w:val="TOC3"/>
        <w:rPr>
          <w:rFonts w:asciiTheme="minorHAnsi" w:eastAsiaTheme="minorEastAsia" w:hAnsiTheme="minorHAnsi" w:cstheme="minorBidi"/>
          <w:sz w:val="22"/>
          <w:szCs w:val="22"/>
        </w:rPr>
      </w:pPr>
      <w:hyperlink w:anchor="_Toc352766954" w:history="1">
        <w:r w:rsidR="009D047F" w:rsidRPr="000A0211">
          <w:rPr>
            <w:rStyle w:val="Hyperlink"/>
          </w:rPr>
          <w:t>3.1 Migration Pathway Evaluation</w:t>
        </w:r>
        <w:r w:rsidR="009D047F">
          <w:rPr>
            <w:webHidden/>
          </w:rPr>
          <w:tab/>
        </w:r>
        <w:r>
          <w:rPr>
            <w:webHidden/>
          </w:rPr>
          <w:fldChar w:fldCharType="begin"/>
        </w:r>
        <w:r w:rsidR="009D047F">
          <w:rPr>
            <w:webHidden/>
          </w:rPr>
          <w:instrText xml:space="preserve"> PAGEREF _Toc352766954 \h </w:instrText>
        </w:r>
        <w:r>
          <w:rPr>
            <w:webHidden/>
          </w:rPr>
        </w:r>
        <w:r>
          <w:rPr>
            <w:webHidden/>
          </w:rPr>
          <w:fldChar w:fldCharType="separate"/>
        </w:r>
        <w:r w:rsidR="009D047F">
          <w:rPr>
            <w:webHidden/>
          </w:rPr>
          <w:t>15</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55" w:history="1">
        <w:r w:rsidR="009D047F" w:rsidRPr="000A0211">
          <w:rPr>
            <w:rStyle w:val="Hyperlink"/>
          </w:rPr>
          <w:t>4 Conclusions</w:t>
        </w:r>
        <w:r w:rsidR="009D047F">
          <w:rPr>
            <w:webHidden/>
          </w:rPr>
          <w:tab/>
        </w:r>
        <w:r>
          <w:rPr>
            <w:webHidden/>
          </w:rPr>
          <w:fldChar w:fldCharType="begin"/>
        </w:r>
        <w:r w:rsidR="009D047F">
          <w:rPr>
            <w:webHidden/>
          </w:rPr>
          <w:instrText xml:space="preserve"> PAGEREF _Toc352766955 \h </w:instrText>
        </w:r>
        <w:r>
          <w:rPr>
            <w:webHidden/>
          </w:rPr>
        </w:r>
        <w:r>
          <w:rPr>
            <w:webHidden/>
          </w:rPr>
          <w:fldChar w:fldCharType="separate"/>
        </w:r>
        <w:r w:rsidR="009D047F">
          <w:rPr>
            <w:webHidden/>
          </w:rPr>
          <w:t>18</w:t>
        </w:r>
        <w:r>
          <w:rPr>
            <w:webHidden/>
          </w:rPr>
          <w:fldChar w:fldCharType="end"/>
        </w:r>
      </w:hyperlink>
    </w:p>
    <w:p w:rsidR="009D047F" w:rsidRDefault="00610D3A">
      <w:pPr>
        <w:pStyle w:val="TOC2"/>
        <w:rPr>
          <w:rFonts w:asciiTheme="minorHAnsi" w:eastAsiaTheme="minorEastAsia" w:hAnsiTheme="minorHAnsi" w:cstheme="minorBidi"/>
          <w:sz w:val="22"/>
          <w:szCs w:val="22"/>
        </w:rPr>
      </w:pPr>
      <w:hyperlink w:anchor="_Toc352766956" w:history="1">
        <w:r w:rsidR="009D047F" w:rsidRPr="000A0211">
          <w:rPr>
            <w:rStyle w:val="Hyperlink"/>
          </w:rPr>
          <w:t>5 References</w:t>
        </w:r>
        <w:r w:rsidR="009D047F">
          <w:rPr>
            <w:webHidden/>
          </w:rPr>
          <w:tab/>
        </w:r>
        <w:r>
          <w:rPr>
            <w:webHidden/>
          </w:rPr>
          <w:fldChar w:fldCharType="begin"/>
        </w:r>
        <w:r w:rsidR="009D047F">
          <w:rPr>
            <w:webHidden/>
          </w:rPr>
          <w:instrText xml:space="preserve"> PAGEREF _Toc352766956 \h </w:instrText>
        </w:r>
        <w:r>
          <w:rPr>
            <w:webHidden/>
          </w:rPr>
        </w:r>
        <w:r>
          <w:rPr>
            <w:webHidden/>
          </w:rPr>
          <w:fldChar w:fldCharType="separate"/>
        </w:r>
        <w:r w:rsidR="009D047F">
          <w:rPr>
            <w:webHidden/>
          </w:rPr>
          <w:t>19</w:t>
        </w:r>
        <w:r>
          <w:rPr>
            <w:webHidden/>
          </w:rPr>
          <w:fldChar w:fldCharType="end"/>
        </w:r>
      </w:hyperlink>
    </w:p>
    <w:p w:rsidR="00D32C85" w:rsidRPr="008820ED" w:rsidRDefault="00610D3A" w:rsidP="0093514E">
      <w:pPr>
        <w:pStyle w:val="TOC1"/>
      </w:pPr>
      <w:r>
        <w:fldChar w:fldCharType="end"/>
      </w:r>
    </w:p>
    <w:bookmarkEnd w:id="0"/>
    <w:bookmarkEnd w:id="1"/>
    <w:bookmarkEnd w:id="2"/>
    <w:bookmarkEnd w:id="3"/>
    <w:bookmarkEnd w:id="4"/>
    <w:bookmarkEnd w:id="5"/>
    <w:p w:rsidR="00A2265A" w:rsidRDefault="00B2193C" w:rsidP="0093514E">
      <w:pPr>
        <w:pStyle w:val="Heading1"/>
      </w:pPr>
      <w:r>
        <w:br w:type="page"/>
      </w:r>
      <w:bookmarkStart w:id="6" w:name="_Toc341774501"/>
      <w:bookmarkStart w:id="7" w:name="_Toc342895568"/>
      <w:bookmarkStart w:id="8" w:name="_Toc352766918"/>
      <w:r w:rsidR="000C1A22" w:rsidRPr="00B2193C">
        <w:rPr>
          <w:noProof/>
          <w:kern w:val="0"/>
        </w:rPr>
        <w:lastRenderedPageBreak/>
        <w:t>List of Tables</w:t>
      </w:r>
      <w:bookmarkEnd w:id="6"/>
      <w:bookmarkEnd w:id="7"/>
      <w:bookmarkEnd w:id="8"/>
    </w:p>
    <w:p w:rsidR="00E16298" w:rsidRPr="00FC75FB" w:rsidRDefault="00B2193C" w:rsidP="00CA0667">
      <w:pPr>
        <w:ind w:left="1470" w:hanging="1470"/>
      </w:pPr>
      <w:r w:rsidRPr="00FC75FB">
        <w:t xml:space="preserve">Table 1 </w:t>
      </w:r>
      <w:r w:rsidRPr="00FC75FB">
        <w:tab/>
      </w:r>
      <w:r w:rsidR="000C1A22" w:rsidRPr="00FC75FB">
        <w:t>Groundwater Analytical Results – November 2011 and April 20</w:t>
      </w:r>
      <w:r w:rsidR="00DF4F9F">
        <w:t>12</w:t>
      </w:r>
    </w:p>
    <w:p w:rsidR="00E16298" w:rsidRPr="00FC75FB" w:rsidRDefault="00B2193C" w:rsidP="00CA0667">
      <w:pPr>
        <w:ind w:left="1470" w:hanging="1470"/>
      </w:pPr>
      <w:r w:rsidRPr="00FC75FB">
        <w:t xml:space="preserve">Table 2 </w:t>
      </w:r>
      <w:r w:rsidRPr="00FC75FB">
        <w:tab/>
      </w:r>
      <w:r w:rsidR="000C1A22" w:rsidRPr="00FC75FB">
        <w:t>Groundwater Elevation Data</w:t>
      </w:r>
    </w:p>
    <w:p w:rsidR="00B2193C" w:rsidRPr="00B2193C" w:rsidRDefault="00B2193C" w:rsidP="0093514E">
      <w:pPr>
        <w:pStyle w:val="TOC1"/>
      </w:pPr>
    </w:p>
    <w:p w:rsidR="00E16298" w:rsidRDefault="000C1A22" w:rsidP="0093514E">
      <w:pPr>
        <w:pStyle w:val="Heading1"/>
      </w:pPr>
      <w:bookmarkStart w:id="9" w:name="_Toc341774502"/>
      <w:bookmarkStart w:id="10" w:name="_Toc342895569"/>
      <w:bookmarkStart w:id="11" w:name="_Toc352766919"/>
      <w:r w:rsidRPr="00B2193C">
        <w:rPr>
          <w:noProof/>
        </w:rPr>
        <w:t>List of Figures</w:t>
      </w:r>
      <w:bookmarkEnd w:id="9"/>
      <w:bookmarkEnd w:id="10"/>
      <w:bookmarkEnd w:id="11"/>
    </w:p>
    <w:p w:rsidR="00E16298" w:rsidRPr="00FC75FB" w:rsidRDefault="00B2193C" w:rsidP="00CA0667">
      <w:r w:rsidRPr="00FC75FB">
        <w:t xml:space="preserve">Figure 1  </w:t>
      </w:r>
      <w:r w:rsidRPr="00FC75FB">
        <w:tab/>
      </w:r>
      <w:r w:rsidR="000C1A22" w:rsidRPr="00FC75FB">
        <w:t>Site Location Map</w:t>
      </w:r>
    </w:p>
    <w:p w:rsidR="00E16298" w:rsidRPr="00FC75FB" w:rsidRDefault="00B87ABA" w:rsidP="00CA0667">
      <w:r>
        <w:t xml:space="preserve">Figure </w:t>
      </w:r>
      <w:r w:rsidR="00B2193C" w:rsidRPr="00FC75FB">
        <w:t xml:space="preserve">2  </w:t>
      </w:r>
      <w:r w:rsidR="00B2193C" w:rsidRPr="00FC75FB">
        <w:tab/>
      </w:r>
      <w:r w:rsidR="000C1A22" w:rsidRPr="00FC75FB">
        <w:t>Site Plan</w:t>
      </w:r>
    </w:p>
    <w:p w:rsidR="00E16298" w:rsidRPr="00FC75FB" w:rsidRDefault="00B2193C" w:rsidP="00CA0667">
      <w:r w:rsidRPr="00FC75FB">
        <w:t xml:space="preserve">Figure </w:t>
      </w:r>
      <w:r w:rsidR="00A2265A" w:rsidRPr="00FC75FB">
        <w:t>3</w:t>
      </w:r>
      <w:r w:rsidRPr="00FC75FB">
        <w:t xml:space="preserve">  </w:t>
      </w:r>
      <w:r w:rsidRPr="00FC75FB">
        <w:tab/>
      </w:r>
      <w:r w:rsidR="000C1A22" w:rsidRPr="00FC75FB">
        <w:t>Monitoring Well Locations</w:t>
      </w:r>
    </w:p>
    <w:p w:rsidR="00E16298" w:rsidRPr="00FC75FB" w:rsidRDefault="00B2193C" w:rsidP="00CA0667">
      <w:r w:rsidRPr="00FC75FB">
        <w:t xml:space="preserve">Figure </w:t>
      </w:r>
      <w:proofErr w:type="gramStart"/>
      <w:r w:rsidR="00A2265A" w:rsidRPr="00FC75FB">
        <w:t>4</w:t>
      </w:r>
      <w:r w:rsidRPr="00FC75FB">
        <w:t xml:space="preserve">  </w:t>
      </w:r>
      <w:r w:rsidRPr="00FC75FB">
        <w:tab/>
      </w:r>
      <w:r w:rsidR="000C1A22" w:rsidRPr="00FC75FB">
        <w:t>Geologic Cross Section</w:t>
      </w:r>
      <w:proofErr w:type="gramEnd"/>
    </w:p>
    <w:p w:rsidR="00B2193C" w:rsidRPr="00FC75FB" w:rsidRDefault="00B2193C" w:rsidP="00CA0667">
      <w:r w:rsidRPr="00FC75FB">
        <w:t xml:space="preserve">Figure </w:t>
      </w:r>
      <w:r w:rsidR="00A2265A" w:rsidRPr="00FC75FB">
        <w:t>5</w:t>
      </w:r>
      <w:r w:rsidRPr="00FC75FB">
        <w:t xml:space="preserve">  </w:t>
      </w:r>
      <w:r w:rsidRPr="00FC75FB">
        <w:tab/>
      </w:r>
      <w:r w:rsidR="000C1A22" w:rsidRPr="00FC75FB">
        <w:t xml:space="preserve">Groundwater Sampling </w:t>
      </w:r>
      <w:proofErr w:type="spellStart"/>
      <w:r w:rsidR="000C1A22" w:rsidRPr="00FC75FB">
        <w:t>Exceedances</w:t>
      </w:r>
      <w:proofErr w:type="spellEnd"/>
      <w:r w:rsidR="000C1A22" w:rsidRPr="00FC75FB">
        <w:t xml:space="preserve"> 2011 Investigation</w:t>
      </w:r>
    </w:p>
    <w:p w:rsidR="00E16298" w:rsidRDefault="00B2193C" w:rsidP="00CA0667">
      <w:r w:rsidRPr="00FC75FB">
        <w:t>Figure</w:t>
      </w:r>
      <w:r w:rsidR="00A2265A" w:rsidRPr="00FC75FB">
        <w:t xml:space="preserve"> 6</w:t>
      </w:r>
      <w:r w:rsidRPr="00FC75FB">
        <w:t xml:space="preserve">   </w:t>
      </w:r>
      <w:r w:rsidRPr="00FC75FB">
        <w:tab/>
      </w:r>
      <w:r w:rsidR="000C1A22" w:rsidRPr="00FC75FB">
        <w:t>Groundwater Elevations April 5, 2012</w:t>
      </w:r>
    </w:p>
    <w:p w:rsidR="00D32B48" w:rsidRPr="00D32B48" w:rsidRDefault="00D32B48" w:rsidP="00CA0667">
      <w:r>
        <w:t>Figure 7</w:t>
      </w:r>
      <w:r>
        <w:tab/>
        <w:t>Groundwater Delineation Wells</w:t>
      </w:r>
    </w:p>
    <w:p w:rsidR="00E16298" w:rsidRPr="00B2193C" w:rsidRDefault="00E16298" w:rsidP="0093514E">
      <w:pPr>
        <w:pStyle w:val="TOC1"/>
      </w:pPr>
    </w:p>
    <w:p w:rsidR="00E16298" w:rsidRDefault="000C1A22" w:rsidP="0093514E">
      <w:pPr>
        <w:pStyle w:val="Heading1"/>
      </w:pPr>
      <w:bookmarkStart w:id="12" w:name="_Toc341774503"/>
      <w:bookmarkStart w:id="13" w:name="_Toc342895570"/>
      <w:bookmarkStart w:id="14" w:name="_Toc352766920"/>
      <w:r w:rsidRPr="00B2193C">
        <w:rPr>
          <w:noProof/>
        </w:rPr>
        <w:t>List of Appendices</w:t>
      </w:r>
      <w:bookmarkEnd w:id="12"/>
      <w:bookmarkEnd w:id="13"/>
      <w:bookmarkEnd w:id="14"/>
    </w:p>
    <w:p w:rsidR="00E16298" w:rsidRPr="00FC75FB" w:rsidRDefault="00B2193C" w:rsidP="00CA0667">
      <w:r w:rsidRPr="00FC75FB">
        <w:t xml:space="preserve">Appendix A  </w:t>
      </w:r>
      <w:r w:rsidRPr="00FC75FB">
        <w:tab/>
      </w:r>
      <w:r w:rsidR="000C1A22" w:rsidRPr="00FC75FB">
        <w:t>Former Wastewater Treatment Plant Basin Investigation Analytical Results</w:t>
      </w:r>
    </w:p>
    <w:p w:rsidR="00E16298" w:rsidRPr="00FC75FB" w:rsidRDefault="00B2193C" w:rsidP="00CA0667">
      <w:r w:rsidRPr="00FC75FB">
        <w:t xml:space="preserve">Appendix B  </w:t>
      </w:r>
      <w:r w:rsidRPr="00FC75FB">
        <w:tab/>
      </w:r>
      <w:r w:rsidR="000C1A22" w:rsidRPr="00FC75FB">
        <w:t xml:space="preserve">Former Wastewater Treatment Plant Addendum to the June 1999 Closure Certification Report </w:t>
      </w:r>
      <w:r w:rsidR="00CA0667">
        <w:tab/>
      </w:r>
      <w:r w:rsidR="00CA0667">
        <w:tab/>
      </w:r>
      <w:r w:rsidR="00CA0667">
        <w:tab/>
      </w:r>
      <w:r w:rsidR="000C1A22" w:rsidRPr="00FC75FB">
        <w:t>Analytical Results</w:t>
      </w:r>
    </w:p>
    <w:p w:rsidR="00571E74" w:rsidRDefault="00B2193C" w:rsidP="00CA0667">
      <w:r w:rsidRPr="00FC75FB">
        <w:t xml:space="preserve">Appendix C  </w:t>
      </w:r>
      <w:r w:rsidRPr="00FC75FB">
        <w:tab/>
      </w:r>
      <w:proofErr w:type="spellStart"/>
      <w:r w:rsidR="002F2DC6">
        <w:t>ProUCL</w:t>
      </w:r>
      <w:proofErr w:type="spellEnd"/>
      <w:r w:rsidR="002F2DC6">
        <w:t xml:space="preserve"> Site</w:t>
      </w:r>
      <w:r w:rsidR="004F11FF">
        <w:t>-</w:t>
      </w:r>
      <w:r w:rsidR="002F2DC6">
        <w:t>Specific Background Calculations for the Former WWTP</w:t>
      </w:r>
    </w:p>
    <w:p w:rsidR="00571E74" w:rsidRDefault="00B2193C" w:rsidP="00CA0667">
      <w:r w:rsidRPr="00FC75FB">
        <w:t xml:space="preserve">Appendix D  </w:t>
      </w:r>
      <w:r w:rsidRPr="00FC75FB">
        <w:tab/>
      </w:r>
      <w:r w:rsidR="00571E74" w:rsidRPr="00FC75FB">
        <w:t xml:space="preserve">Soil Boring Logs </w:t>
      </w:r>
    </w:p>
    <w:p w:rsidR="00E16298" w:rsidRPr="00FC75FB" w:rsidRDefault="00571E74" w:rsidP="00CA0667">
      <w:r w:rsidRPr="00FC75FB">
        <w:t xml:space="preserve">Appendix E  </w:t>
      </w:r>
      <w:r>
        <w:tab/>
      </w:r>
      <w:r w:rsidR="000C1A22" w:rsidRPr="00FC75FB">
        <w:t>Monitoring Well Construction Details</w:t>
      </w:r>
    </w:p>
    <w:p w:rsidR="00E16298" w:rsidRPr="00FC75FB" w:rsidRDefault="00571E74" w:rsidP="00CA0667">
      <w:r w:rsidRPr="00FC75FB">
        <w:t>Appendix F</w:t>
      </w:r>
      <w:r w:rsidR="00B2193C" w:rsidRPr="00FC75FB">
        <w:tab/>
      </w:r>
      <w:r w:rsidR="000C1A22" w:rsidRPr="00FC75FB">
        <w:t>Data Validation Report – November 1, 2011</w:t>
      </w:r>
    </w:p>
    <w:p w:rsidR="00E16298" w:rsidRPr="00FC75FB" w:rsidRDefault="00B2193C" w:rsidP="00CA0667">
      <w:r w:rsidRPr="00FC75FB">
        <w:t xml:space="preserve"> </w:t>
      </w:r>
      <w:r w:rsidR="00571E74" w:rsidRPr="00FC75FB">
        <w:t>Appendix G</w:t>
      </w:r>
      <w:r w:rsidRPr="00FC75FB">
        <w:t xml:space="preserve"> </w:t>
      </w:r>
      <w:r w:rsidRPr="00FC75FB">
        <w:tab/>
      </w:r>
      <w:r w:rsidR="000C1A22" w:rsidRPr="00FC75FB">
        <w:t>Data Validation Report – April 5, 2012</w:t>
      </w:r>
    </w:p>
    <w:p w:rsidR="00B2193C" w:rsidRPr="00FC75FB" w:rsidRDefault="00B2193C" w:rsidP="00CA0667">
      <w:r w:rsidRPr="00FC75FB">
        <w:t xml:space="preserve"> </w:t>
      </w:r>
      <w:r w:rsidRPr="00FC75FB">
        <w:tab/>
      </w:r>
    </w:p>
    <w:p w:rsidR="00B2193C" w:rsidRPr="00B2193C" w:rsidRDefault="00B2193C" w:rsidP="0093514E">
      <w:pPr>
        <w:pStyle w:val="TOC1"/>
      </w:pPr>
    </w:p>
    <w:p w:rsidR="00E16298" w:rsidRDefault="000C1A22" w:rsidP="0093514E">
      <w:pPr>
        <w:pStyle w:val="Heading1"/>
      </w:pPr>
      <w:bookmarkStart w:id="15" w:name="_Toc341774504"/>
      <w:bookmarkStart w:id="16" w:name="_Toc342895571"/>
      <w:bookmarkStart w:id="17" w:name="_Toc352766921"/>
      <w:r w:rsidRPr="00B2193C">
        <w:rPr>
          <w:noProof/>
        </w:rPr>
        <w:t>List of Attachments</w:t>
      </w:r>
      <w:bookmarkEnd w:id="15"/>
      <w:bookmarkEnd w:id="16"/>
      <w:bookmarkEnd w:id="17"/>
    </w:p>
    <w:p w:rsidR="00E16298" w:rsidRPr="00FC75FB" w:rsidRDefault="00B2193C" w:rsidP="00CA0667">
      <w:pPr>
        <w:tabs>
          <w:tab w:val="left" w:pos="1470"/>
        </w:tabs>
      </w:pPr>
      <w:r w:rsidRPr="00FC75FB">
        <w:t xml:space="preserve">Attachment A   </w:t>
      </w:r>
      <w:r w:rsidR="00CA0667">
        <w:tab/>
      </w:r>
      <w:r w:rsidRPr="00FC75FB">
        <w:t>MDEQ Comments on September 12, 2008, Addendum to the June 1999 Closure</w:t>
      </w:r>
      <w:r w:rsidR="00B36E3B">
        <w:t xml:space="preserve"> C</w:t>
      </w:r>
      <w:r w:rsidRPr="00FC75FB">
        <w:t xml:space="preserve">ertification </w:t>
      </w:r>
      <w:r w:rsidR="00CA0667">
        <w:tab/>
      </w:r>
      <w:r w:rsidR="00CA0667">
        <w:tab/>
      </w:r>
      <w:r w:rsidRPr="00FC75FB">
        <w:t xml:space="preserve">Report for the Former WWTP </w:t>
      </w:r>
      <w:r w:rsidR="00E307D1">
        <w:t xml:space="preserve">at the </w:t>
      </w:r>
      <w:r w:rsidRPr="00FC75FB">
        <w:t>Coldwater Road Landfill</w:t>
      </w:r>
      <w:r w:rsidR="00E307D1">
        <w:t xml:space="preserve"> Facility</w:t>
      </w:r>
    </w:p>
    <w:p w:rsidR="00E16298" w:rsidRPr="00FC75FB" w:rsidRDefault="00B2193C" w:rsidP="00CA0667">
      <w:pPr>
        <w:tabs>
          <w:tab w:val="left" w:pos="1470"/>
        </w:tabs>
      </w:pPr>
      <w:r w:rsidRPr="00FC75FB">
        <w:t xml:space="preserve">Attachment B   </w:t>
      </w:r>
      <w:r w:rsidR="00CA0667">
        <w:tab/>
      </w:r>
      <w:r w:rsidRPr="00FC75FB">
        <w:t>Response to Comments – Addendum to the June Closure Certification Report for the</w:t>
      </w:r>
      <w:r w:rsidR="00B36E3B">
        <w:t xml:space="preserve"> F</w:t>
      </w:r>
      <w:r w:rsidRPr="00FC75FB">
        <w:t xml:space="preserve">ormer </w:t>
      </w:r>
      <w:r w:rsidR="00CA0667">
        <w:tab/>
      </w:r>
      <w:r w:rsidRPr="00FC75FB">
        <w:t>Wastewater Treatment Plant</w:t>
      </w:r>
    </w:p>
    <w:p w:rsidR="00E16298" w:rsidRPr="00FC75FB" w:rsidRDefault="00B2193C" w:rsidP="00CA0667">
      <w:r w:rsidRPr="00FC75FB">
        <w:t xml:space="preserve">Attachment C   </w:t>
      </w:r>
      <w:r w:rsidR="00CA0667">
        <w:tab/>
      </w:r>
      <w:r w:rsidRPr="00FC75FB">
        <w:t xml:space="preserve">Acceptance of Response to Resource Management Division (RMD) March 24, 2009, letter </w:t>
      </w:r>
      <w:r w:rsidR="00CA0667">
        <w:tab/>
      </w:r>
      <w:r w:rsidR="00CA0667">
        <w:tab/>
      </w:r>
      <w:r w:rsidR="00CA0667">
        <w:tab/>
      </w:r>
      <w:r w:rsidRPr="00FC75FB">
        <w:t xml:space="preserve">comments on the Addendum to the June 1999 Closure Certification Report </w:t>
      </w:r>
      <w:r w:rsidR="00E307D1">
        <w:t>f</w:t>
      </w:r>
      <w:r w:rsidRPr="00FC75FB">
        <w:t>or the</w:t>
      </w:r>
      <w:r w:rsidR="00B36E3B">
        <w:t xml:space="preserve"> </w:t>
      </w:r>
      <w:r w:rsidRPr="00FC75FB">
        <w:t xml:space="preserve">Former </w:t>
      </w:r>
      <w:r w:rsidR="00CA0667">
        <w:tab/>
      </w:r>
      <w:r w:rsidR="00CA0667">
        <w:tab/>
      </w:r>
      <w:r w:rsidR="00CA0667">
        <w:tab/>
      </w:r>
      <w:r w:rsidRPr="00FC75FB">
        <w:t xml:space="preserve">WWTP </w:t>
      </w:r>
      <w:r w:rsidR="00E307D1">
        <w:t xml:space="preserve">at the </w:t>
      </w:r>
      <w:r w:rsidRPr="00FC75FB">
        <w:t>Coldwater Road Landfill Facility</w:t>
      </w:r>
    </w:p>
    <w:p w:rsidR="00D32C85" w:rsidRDefault="00F81917" w:rsidP="0093514E">
      <w:pPr>
        <w:pStyle w:val="TOC1"/>
      </w:pPr>
      <w:r>
        <w:br w:type="page"/>
      </w:r>
      <w:r w:rsidR="00286FB1">
        <w:t>List of Acronyms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38"/>
        <w:gridCol w:w="8658"/>
      </w:tblGrid>
      <w:tr w:rsidR="00F81917" w:rsidTr="002745EE">
        <w:tc>
          <w:tcPr>
            <w:tcW w:w="1638" w:type="dxa"/>
          </w:tcPr>
          <w:p w:rsidR="00F81917" w:rsidRDefault="00F81917" w:rsidP="0093514E">
            <w:r>
              <w:t>CACO</w:t>
            </w:r>
          </w:p>
        </w:tc>
        <w:tc>
          <w:tcPr>
            <w:tcW w:w="8658" w:type="dxa"/>
          </w:tcPr>
          <w:p w:rsidR="00F81917" w:rsidRDefault="00F81917" w:rsidP="0093514E">
            <w:r>
              <w:t>Corrective Action Consent Order</w:t>
            </w:r>
          </w:p>
        </w:tc>
      </w:tr>
      <w:tr w:rsidR="00F81917" w:rsidTr="002745EE">
        <w:tc>
          <w:tcPr>
            <w:tcW w:w="1638" w:type="dxa"/>
          </w:tcPr>
          <w:p w:rsidR="00F81917" w:rsidRDefault="00F81917" w:rsidP="0093514E">
            <w:r>
              <w:t>CLP</w:t>
            </w:r>
          </w:p>
        </w:tc>
        <w:tc>
          <w:tcPr>
            <w:tcW w:w="8658" w:type="dxa"/>
          </w:tcPr>
          <w:p w:rsidR="00F81917" w:rsidRDefault="00F81917" w:rsidP="0093514E">
            <w:r>
              <w:t>Contract Laboratory Program</w:t>
            </w:r>
          </w:p>
        </w:tc>
      </w:tr>
      <w:tr w:rsidR="00F81917" w:rsidTr="002745EE">
        <w:tc>
          <w:tcPr>
            <w:tcW w:w="1638" w:type="dxa"/>
          </w:tcPr>
          <w:p w:rsidR="00F81917" w:rsidRDefault="00F81917" w:rsidP="0093514E">
            <w:r>
              <w:t>COC</w:t>
            </w:r>
            <w:r w:rsidR="005C28F8">
              <w:t>s</w:t>
            </w:r>
          </w:p>
        </w:tc>
        <w:tc>
          <w:tcPr>
            <w:tcW w:w="8658" w:type="dxa"/>
          </w:tcPr>
          <w:p w:rsidR="00F81917" w:rsidRDefault="00F81917" w:rsidP="0093514E">
            <w:r>
              <w:t>Chemical</w:t>
            </w:r>
            <w:r w:rsidR="005C28F8">
              <w:t>s</w:t>
            </w:r>
            <w:r>
              <w:t xml:space="preserve"> of Concern</w:t>
            </w:r>
          </w:p>
        </w:tc>
      </w:tr>
      <w:tr w:rsidR="00F81917" w:rsidTr="002745EE">
        <w:tc>
          <w:tcPr>
            <w:tcW w:w="1638" w:type="dxa"/>
          </w:tcPr>
          <w:p w:rsidR="00F81917" w:rsidRDefault="00F81917" w:rsidP="0093514E">
            <w:r>
              <w:t>CRA</w:t>
            </w:r>
          </w:p>
        </w:tc>
        <w:tc>
          <w:tcPr>
            <w:tcW w:w="8658" w:type="dxa"/>
          </w:tcPr>
          <w:p w:rsidR="00F81917" w:rsidRDefault="00F81917" w:rsidP="0093514E">
            <w:r>
              <w:t>Conestoga-Rovers &amp; Associates</w:t>
            </w:r>
          </w:p>
        </w:tc>
      </w:tr>
      <w:tr w:rsidR="00F81917" w:rsidTr="002745EE">
        <w:tc>
          <w:tcPr>
            <w:tcW w:w="1638" w:type="dxa"/>
          </w:tcPr>
          <w:p w:rsidR="00F81917" w:rsidRDefault="00F81917" w:rsidP="0093514E">
            <w:proofErr w:type="spellStart"/>
            <w:r>
              <w:t>fbg</w:t>
            </w:r>
            <w:proofErr w:type="spellEnd"/>
          </w:p>
        </w:tc>
        <w:tc>
          <w:tcPr>
            <w:tcW w:w="8658" w:type="dxa"/>
          </w:tcPr>
          <w:p w:rsidR="00F81917" w:rsidRDefault="00F81917" w:rsidP="0093514E">
            <w:r>
              <w:t>Feet below grade</w:t>
            </w:r>
          </w:p>
        </w:tc>
      </w:tr>
      <w:tr w:rsidR="00F81917" w:rsidTr="002745EE">
        <w:tc>
          <w:tcPr>
            <w:tcW w:w="1638" w:type="dxa"/>
          </w:tcPr>
          <w:p w:rsidR="00F81917" w:rsidRDefault="00F81917" w:rsidP="0093514E">
            <w:r>
              <w:t>GC/MS</w:t>
            </w:r>
          </w:p>
        </w:tc>
        <w:tc>
          <w:tcPr>
            <w:tcW w:w="8658" w:type="dxa"/>
          </w:tcPr>
          <w:p w:rsidR="00F81917" w:rsidRDefault="00F81917" w:rsidP="0093514E">
            <w:r w:rsidRPr="004B41A8">
              <w:t xml:space="preserve">Gas </w:t>
            </w:r>
            <w:r>
              <w:t>C</w:t>
            </w:r>
            <w:r w:rsidRPr="004B41A8">
              <w:t xml:space="preserve">hromatograph/Mass </w:t>
            </w:r>
            <w:r>
              <w:t>S</w:t>
            </w:r>
            <w:r w:rsidRPr="004B41A8">
              <w:t>pectrometer</w:t>
            </w:r>
          </w:p>
        </w:tc>
      </w:tr>
      <w:tr w:rsidR="00F81917" w:rsidTr="002745EE">
        <w:tc>
          <w:tcPr>
            <w:tcW w:w="1638" w:type="dxa"/>
          </w:tcPr>
          <w:p w:rsidR="00F81917" w:rsidRDefault="00F81917" w:rsidP="0093514E">
            <w:r>
              <w:t>GM</w:t>
            </w:r>
          </w:p>
        </w:tc>
        <w:tc>
          <w:tcPr>
            <w:tcW w:w="8658" w:type="dxa"/>
          </w:tcPr>
          <w:p w:rsidR="00F81917" w:rsidRDefault="00F81917" w:rsidP="0093514E">
            <w:r>
              <w:t>General Motors</w:t>
            </w:r>
          </w:p>
        </w:tc>
      </w:tr>
      <w:tr w:rsidR="00F81917" w:rsidTr="002745EE">
        <w:tc>
          <w:tcPr>
            <w:tcW w:w="1638" w:type="dxa"/>
          </w:tcPr>
          <w:p w:rsidR="00F81917" w:rsidRDefault="00F81917" w:rsidP="0093514E">
            <w:r>
              <w:t>GSI</w:t>
            </w:r>
          </w:p>
        </w:tc>
        <w:tc>
          <w:tcPr>
            <w:tcW w:w="8658" w:type="dxa"/>
          </w:tcPr>
          <w:p w:rsidR="00F81917" w:rsidRDefault="00F81917" w:rsidP="0093514E">
            <w:r>
              <w:t>Groundwater-Surface Water Interface</w:t>
            </w:r>
          </w:p>
        </w:tc>
      </w:tr>
      <w:tr w:rsidR="00F81917" w:rsidTr="002745EE">
        <w:tc>
          <w:tcPr>
            <w:tcW w:w="1638" w:type="dxa"/>
          </w:tcPr>
          <w:p w:rsidR="00F81917" w:rsidRDefault="00F81917" w:rsidP="0093514E">
            <w:r>
              <w:t>GWNIAA</w:t>
            </w:r>
          </w:p>
        </w:tc>
        <w:tc>
          <w:tcPr>
            <w:tcW w:w="8658" w:type="dxa"/>
          </w:tcPr>
          <w:p w:rsidR="00F81917" w:rsidRDefault="00F81917" w:rsidP="0093514E">
            <w:r>
              <w:t>Groundwater Not In An Aquifer</w:t>
            </w:r>
          </w:p>
        </w:tc>
      </w:tr>
      <w:tr w:rsidR="00F81917" w:rsidTr="002745EE">
        <w:tc>
          <w:tcPr>
            <w:tcW w:w="1638" w:type="dxa"/>
          </w:tcPr>
          <w:p w:rsidR="00F81917" w:rsidRDefault="00F81917" w:rsidP="0093514E">
            <w:r>
              <w:t>HSA</w:t>
            </w:r>
          </w:p>
        </w:tc>
        <w:tc>
          <w:tcPr>
            <w:tcW w:w="8658" w:type="dxa"/>
          </w:tcPr>
          <w:p w:rsidR="00F81917" w:rsidRDefault="00F81917" w:rsidP="0093514E">
            <w:r>
              <w:t>Hollow Stem Auger</w:t>
            </w:r>
          </w:p>
        </w:tc>
      </w:tr>
      <w:tr w:rsidR="00F81917" w:rsidTr="002745EE">
        <w:tc>
          <w:tcPr>
            <w:tcW w:w="1638" w:type="dxa"/>
          </w:tcPr>
          <w:p w:rsidR="00F81917" w:rsidRDefault="00F81917" w:rsidP="0093514E">
            <w:r>
              <w:t>ICP</w:t>
            </w:r>
          </w:p>
        </w:tc>
        <w:tc>
          <w:tcPr>
            <w:tcW w:w="8658" w:type="dxa"/>
          </w:tcPr>
          <w:p w:rsidR="00F81917" w:rsidRDefault="00F81917" w:rsidP="0093514E">
            <w:r w:rsidRPr="00F81917">
              <w:t>Inductively Coupled Plasma</w:t>
            </w:r>
          </w:p>
        </w:tc>
      </w:tr>
      <w:tr w:rsidR="00F81917" w:rsidTr="002745EE">
        <w:tc>
          <w:tcPr>
            <w:tcW w:w="1638" w:type="dxa"/>
          </w:tcPr>
          <w:p w:rsidR="00F81917" w:rsidRDefault="00F81917" w:rsidP="0093514E">
            <w:r>
              <w:t>MDEQ</w:t>
            </w:r>
          </w:p>
        </w:tc>
        <w:tc>
          <w:tcPr>
            <w:tcW w:w="8658" w:type="dxa"/>
          </w:tcPr>
          <w:p w:rsidR="00F81917" w:rsidRDefault="00F81917" w:rsidP="0093514E">
            <w:r>
              <w:t>Michigan Department of Environmental Quality</w:t>
            </w:r>
          </w:p>
        </w:tc>
      </w:tr>
      <w:tr w:rsidR="00F81917" w:rsidTr="002745EE">
        <w:tc>
          <w:tcPr>
            <w:tcW w:w="1638" w:type="dxa"/>
          </w:tcPr>
          <w:p w:rsidR="00F81917" w:rsidRDefault="00F81917" w:rsidP="0093514E">
            <w:r>
              <w:t>MDL</w:t>
            </w:r>
          </w:p>
        </w:tc>
        <w:tc>
          <w:tcPr>
            <w:tcW w:w="8658" w:type="dxa"/>
          </w:tcPr>
          <w:p w:rsidR="00F81917" w:rsidRDefault="00F81917" w:rsidP="0093514E">
            <w:r>
              <w:t>Method Detection Limit</w:t>
            </w:r>
          </w:p>
        </w:tc>
      </w:tr>
      <w:tr w:rsidR="00F81917" w:rsidTr="002745EE">
        <w:tc>
          <w:tcPr>
            <w:tcW w:w="1638" w:type="dxa"/>
          </w:tcPr>
          <w:p w:rsidR="00F81917" w:rsidRDefault="00F81917" w:rsidP="0093514E">
            <w:r>
              <w:t>MLC</w:t>
            </w:r>
          </w:p>
        </w:tc>
        <w:tc>
          <w:tcPr>
            <w:tcW w:w="8658" w:type="dxa"/>
          </w:tcPr>
          <w:p w:rsidR="00F81917" w:rsidRDefault="00F81917" w:rsidP="0093514E">
            <w:r>
              <w:t>Motors Liquidation Corporation</w:t>
            </w:r>
          </w:p>
        </w:tc>
      </w:tr>
      <w:tr w:rsidR="00F81917" w:rsidTr="002745EE">
        <w:tc>
          <w:tcPr>
            <w:tcW w:w="1638" w:type="dxa"/>
          </w:tcPr>
          <w:p w:rsidR="00F81917" w:rsidRDefault="00F81917" w:rsidP="0093514E">
            <w:r>
              <w:t>NREPA</w:t>
            </w:r>
          </w:p>
        </w:tc>
        <w:tc>
          <w:tcPr>
            <w:tcW w:w="8658" w:type="dxa"/>
          </w:tcPr>
          <w:p w:rsidR="00F81917" w:rsidRDefault="00F81917" w:rsidP="0093514E">
            <w:r>
              <w:t>Natural Resources and Environmental Protection Act</w:t>
            </w:r>
          </w:p>
        </w:tc>
      </w:tr>
      <w:tr w:rsidR="00F81917" w:rsidTr="002745EE">
        <w:tc>
          <w:tcPr>
            <w:tcW w:w="1638" w:type="dxa"/>
          </w:tcPr>
          <w:p w:rsidR="00F81917" w:rsidRDefault="00F81917" w:rsidP="0093514E">
            <w:r>
              <w:t>ppb</w:t>
            </w:r>
          </w:p>
        </w:tc>
        <w:tc>
          <w:tcPr>
            <w:tcW w:w="8658" w:type="dxa"/>
          </w:tcPr>
          <w:p w:rsidR="00F81917" w:rsidRDefault="00F81917" w:rsidP="0093514E">
            <w:r>
              <w:t>Parts per billion</w:t>
            </w:r>
          </w:p>
        </w:tc>
      </w:tr>
      <w:tr w:rsidR="00F81917" w:rsidTr="002745EE">
        <w:tc>
          <w:tcPr>
            <w:tcW w:w="1638" w:type="dxa"/>
          </w:tcPr>
          <w:p w:rsidR="00F81917" w:rsidRDefault="00F81917" w:rsidP="0093514E">
            <w:r>
              <w:t>QA/QC</w:t>
            </w:r>
          </w:p>
        </w:tc>
        <w:tc>
          <w:tcPr>
            <w:tcW w:w="8658" w:type="dxa"/>
          </w:tcPr>
          <w:p w:rsidR="00F81917" w:rsidRDefault="00F81917" w:rsidP="0093514E">
            <w:r>
              <w:t>Quality Assurance/Quality Control</w:t>
            </w:r>
          </w:p>
        </w:tc>
      </w:tr>
      <w:tr w:rsidR="00F81917" w:rsidTr="002745EE">
        <w:tc>
          <w:tcPr>
            <w:tcW w:w="1638" w:type="dxa"/>
          </w:tcPr>
          <w:p w:rsidR="00F81917" w:rsidRDefault="00F81917" w:rsidP="0093514E">
            <w:r>
              <w:t>QAPP</w:t>
            </w:r>
          </w:p>
        </w:tc>
        <w:tc>
          <w:tcPr>
            <w:tcW w:w="8658" w:type="dxa"/>
          </w:tcPr>
          <w:p w:rsidR="00F81917" w:rsidRDefault="00F81917" w:rsidP="0093514E">
            <w:r>
              <w:t>Quality Assurance Project Plan</w:t>
            </w:r>
          </w:p>
        </w:tc>
      </w:tr>
      <w:tr w:rsidR="00F81917" w:rsidTr="002745EE">
        <w:tc>
          <w:tcPr>
            <w:tcW w:w="1638" w:type="dxa"/>
          </w:tcPr>
          <w:p w:rsidR="00F81917" w:rsidRDefault="00F81917" w:rsidP="0093514E">
            <w:r>
              <w:t>RCRA</w:t>
            </w:r>
          </w:p>
        </w:tc>
        <w:tc>
          <w:tcPr>
            <w:tcW w:w="8658" w:type="dxa"/>
          </w:tcPr>
          <w:p w:rsidR="00F81917" w:rsidRDefault="00F81917" w:rsidP="0093514E">
            <w:r>
              <w:t>Resource Conservation and Recovery Act</w:t>
            </w:r>
          </w:p>
        </w:tc>
      </w:tr>
      <w:tr w:rsidR="00F81917" w:rsidTr="002745EE">
        <w:tc>
          <w:tcPr>
            <w:tcW w:w="1638" w:type="dxa"/>
          </w:tcPr>
          <w:p w:rsidR="00F81917" w:rsidRDefault="00F81917" w:rsidP="0093514E">
            <w:r>
              <w:t>RMA</w:t>
            </w:r>
          </w:p>
        </w:tc>
        <w:tc>
          <w:tcPr>
            <w:tcW w:w="8658" w:type="dxa"/>
          </w:tcPr>
          <w:p w:rsidR="00F81917" w:rsidRDefault="00F81917" w:rsidP="0093514E">
            <w:r>
              <w:t>Remaining Materials Area</w:t>
            </w:r>
          </w:p>
        </w:tc>
      </w:tr>
      <w:tr w:rsidR="00F81917" w:rsidTr="002745EE">
        <w:tc>
          <w:tcPr>
            <w:tcW w:w="1638" w:type="dxa"/>
          </w:tcPr>
          <w:p w:rsidR="00F81917" w:rsidRDefault="00F81917" w:rsidP="0093514E">
            <w:r>
              <w:t>RRD</w:t>
            </w:r>
          </w:p>
        </w:tc>
        <w:tc>
          <w:tcPr>
            <w:tcW w:w="8658" w:type="dxa"/>
          </w:tcPr>
          <w:p w:rsidR="00F81917" w:rsidRDefault="00F81917" w:rsidP="0093514E">
            <w:r>
              <w:t>Remediation and Redevelopment Division</w:t>
            </w:r>
          </w:p>
        </w:tc>
      </w:tr>
      <w:tr w:rsidR="00F81917" w:rsidTr="002745EE">
        <w:tc>
          <w:tcPr>
            <w:tcW w:w="1638" w:type="dxa"/>
          </w:tcPr>
          <w:p w:rsidR="00F81917" w:rsidRDefault="00F81917" w:rsidP="0093514E">
            <w:r>
              <w:t>SAP</w:t>
            </w:r>
          </w:p>
        </w:tc>
        <w:tc>
          <w:tcPr>
            <w:tcW w:w="8658" w:type="dxa"/>
          </w:tcPr>
          <w:p w:rsidR="00F81917" w:rsidRDefault="00F81917" w:rsidP="0093514E">
            <w:r>
              <w:t>Sampling and Analysis Plan</w:t>
            </w:r>
          </w:p>
        </w:tc>
      </w:tr>
      <w:tr w:rsidR="00F81917" w:rsidTr="002745EE">
        <w:tc>
          <w:tcPr>
            <w:tcW w:w="1638" w:type="dxa"/>
          </w:tcPr>
          <w:p w:rsidR="00F81917" w:rsidRDefault="00F81917" w:rsidP="0093514E">
            <w:r>
              <w:t>SOP</w:t>
            </w:r>
          </w:p>
        </w:tc>
        <w:tc>
          <w:tcPr>
            <w:tcW w:w="8658" w:type="dxa"/>
          </w:tcPr>
          <w:p w:rsidR="00F81917" w:rsidRDefault="00F81917" w:rsidP="0093514E">
            <w:r>
              <w:t>Standard Operating Procedure</w:t>
            </w:r>
          </w:p>
        </w:tc>
      </w:tr>
      <w:tr w:rsidR="00F81917" w:rsidTr="002745EE">
        <w:tc>
          <w:tcPr>
            <w:tcW w:w="1638" w:type="dxa"/>
          </w:tcPr>
          <w:p w:rsidR="00F81917" w:rsidRDefault="00F81917" w:rsidP="0093514E">
            <w:r>
              <w:t>SVOCs</w:t>
            </w:r>
          </w:p>
        </w:tc>
        <w:tc>
          <w:tcPr>
            <w:tcW w:w="8658" w:type="dxa"/>
          </w:tcPr>
          <w:p w:rsidR="00F81917" w:rsidRDefault="00F81917" w:rsidP="0093514E">
            <w:r>
              <w:t>Semi-Volatile Organic Compounds</w:t>
            </w:r>
          </w:p>
        </w:tc>
      </w:tr>
      <w:tr w:rsidR="00F81917" w:rsidTr="002745EE">
        <w:tc>
          <w:tcPr>
            <w:tcW w:w="1638" w:type="dxa"/>
          </w:tcPr>
          <w:p w:rsidR="00F81917" w:rsidRDefault="00F81917" w:rsidP="0093514E">
            <w:r>
              <w:t>SWMU</w:t>
            </w:r>
          </w:p>
        </w:tc>
        <w:tc>
          <w:tcPr>
            <w:tcW w:w="8658" w:type="dxa"/>
          </w:tcPr>
          <w:p w:rsidR="00F81917" w:rsidRDefault="00F81917" w:rsidP="0093514E">
            <w:r>
              <w:t>Solid Waste Management Unit</w:t>
            </w:r>
          </w:p>
        </w:tc>
      </w:tr>
      <w:tr w:rsidR="00F81917" w:rsidTr="002745EE">
        <w:tc>
          <w:tcPr>
            <w:tcW w:w="1638" w:type="dxa"/>
          </w:tcPr>
          <w:p w:rsidR="00F81917" w:rsidRDefault="00F81917" w:rsidP="0093514E">
            <w:r>
              <w:t>TDL</w:t>
            </w:r>
          </w:p>
        </w:tc>
        <w:tc>
          <w:tcPr>
            <w:tcW w:w="8658" w:type="dxa"/>
          </w:tcPr>
          <w:p w:rsidR="00F81917" w:rsidRDefault="00F81917" w:rsidP="0093514E">
            <w:r>
              <w:t>Target Detection Limit</w:t>
            </w:r>
          </w:p>
        </w:tc>
      </w:tr>
      <w:tr w:rsidR="00F81917" w:rsidTr="002745EE">
        <w:tc>
          <w:tcPr>
            <w:tcW w:w="1638" w:type="dxa"/>
          </w:tcPr>
          <w:p w:rsidR="00F81917" w:rsidRDefault="00F81917" w:rsidP="0093514E">
            <w:r>
              <w:t>USEPA</w:t>
            </w:r>
          </w:p>
        </w:tc>
        <w:tc>
          <w:tcPr>
            <w:tcW w:w="8658" w:type="dxa"/>
          </w:tcPr>
          <w:p w:rsidR="00F81917" w:rsidRDefault="00F81917" w:rsidP="0093514E">
            <w:r>
              <w:t>United States Environmental Protection Agency</w:t>
            </w:r>
          </w:p>
        </w:tc>
      </w:tr>
      <w:tr w:rsidR="00F81917" w:rsidTr="002745EE">
        <w:tc>
          <w:tcPr>
            <w:tcW w:w="1638" w:type="dxa"/>
          </w:tcPr>
          <w:p w:rsidR="00F81917" w:rsidRDefault="00F81917" w:rsidP="0093514E">
            <w:r>
              <w:t>VOCs</w:t>
            </w:r>
          </w:p>
        </w:tc>
        <w:tc>
          <w:tcPr>
            <w:tcW w:w="8658" w:type="dxa"/>
          </w:tcPr>
          <w:p w:rsidR="00F81917" w:rsidRDefault="00F81917" w:rsidP="0093514E">
            <w:r>
              <w:t>Volatile Organic Compounds</w:t>
            </w:r>
          </w:p>
        </w:tc>
      </w:tr>
      <w:tr w:rsidR="00F81917" w:rsidTr="002745EE">
        <w:tc>
          <w:tcPr>
            <w:tcW w:w="1638" w:type="dxa"/>
          </w:tcPr>
          <w:p w:rsidR="00F81917" w:rsidRDefault="00F81917" w:rsidP="0093514E">
            <w:r>
              <w:t>WHMD</w:t>
            </w:r>
          </w:p>
        </w:tc>
        <w:tc>
          <w:tcPr>
            <w:tcW w:w="8658" w:type="dxa"/>
          </w:tcPr>
          <w:p w:rsidR="00F81917" w:rsidRDefault="00F81917" w:rsidP="0093514E">
            <w:r>
              <w:t>Waste and Hazardous Material Division</w:t>
            </w:r>
          </w:p>
        </w:tc>
      </w:tr>
      <w:tr w:rsidR="00F81917" w:rsidTr="002745EE">
        <w:tc>
          <w:tcPr>
            <w:tcW w:w="1638" w:type="dxa"/>
          </w:tcPr>
          <w:p w:rsidR="00F81917" w:rsidRDefault="00F81917" w:rsidP="0093514E">
            <w:r>
              <w:t>WWTP</w:t>
            </w:r>
          </w:p>
        </w:tc>
        <w:tc>
          <w:tcPr>
            <w:tcW w:w="8658" w:type="dxa"/>
          </w:tcPr>
          <w:p w:rsidR="00F81917" w:rsidRDefault="00F81917" w:rsidP="0093514E">
            <w:r>
              <w:t>Wastewater Treatment Plant</w:t>
            </w:r>
          </w:p>
        </w:tc>
      </w:tr>
    </w:tbl>
    <w:p w:rsidR="00286FB1" w:rsidRPr="00286FB1" w:rsidRDefault="00286FB1" w:rsidP="0093514E"/>
    <w:p w:rsidR="00B83C6E" w:rsidRPr="00B83C6E" w:rsidRDefault="00B83C6E" w:rsidP="0093514E">
      <w:pPr>
        <w:pStyle w:val="Heading1"/>
      </w:pPr>
      <w:r>
        <w:br w:type="page"/>
      </w:r>
      <w:bookmarkStart w:id="18" w:name="_Toc341774505"/>
      <w:bookmarkStart w:id="19" w:name="_Toc352766922"/>
      <w:r w:rsidRPr="00B83C6E">
        <w:t>Closure Certification</w:t>
      </w:r>
      <w:bookmarkEnd w:id="18"/>
      <w:bookmarkEnd w:id="19"/>
    </w:p>
    <w:p w:rsidR="00B83C6E" w:rsidRDefault="00B83C6E" w:rsidP="0093514E">
      <w:r w:rsidRPr="00B83C6E">
        <w:t xml:space="preserve">This section presents the certification statement as required by 40 </w:t>
      </w:r>
      <w:smartTag w:uri="urn:schemas-microsoft-com:office:smarttags" w:element="stockticker">
        <w:r w:rsidRPr="00B83C6E">
          <w:t>CFR</w:t>
        </w:r>
      </w:smartTag>
      <w:r w:rsidRPr="00B83C6E">
        <w:t xml:space="preserve"> 264.115 and Part 111, Hazardous Waste Management, of the Natural Resources and Environmental Protection Act, 1994 PA 451, as amended (Act 451), Mich. Admin. </w:t>
      </w:r>
      <w:proofErr w:type="gramStart"/>
      <w:r w:rsidRPr="00B83C6E">
        <w:t>Code Rule 299.9613(2).</w:t>
      </w:r>
      <w:proofErr w:type="gramEnd"/>
    </w:p>
    <w:p w:rsidR="00B83C6E" w:rsidRPr="00C20B69" w:rsidRDefault="00C20B69" w:rsidP="0093514E">
      <w:pPr>
        <w:pStyle w:val="Heading2"/>
      </w:pPr>
      <w:bookmarkStart w:id="20" w:name="_Toc352766923"/>
      <w:r>
        <w:t>Professional Engineer’s Certification</w:t>
      </w:r>
      <w:bookmarkEnd w:id="20"/>
    </w:p>
    <w:p w:rsidR="00B83C6E" w:rsidRPr="00B83C6E" w:rsidRDefault="00B83C6E" w:rsidP="0093514E">
      <w:r w:rsidRPr="00B83C6E">
        <w:t xml:space="preserve">I, Scott L. </w:t>
      </w:r>
      <w:smartTag w:uri="urn:schemas:contacts" w:element="Sn">
        <w:r w:rsidRPr="00B83C6E">
          <w:t>Cormier</w:t>
        </w:r>
      </w:smartTag>
      <w:r w:rsidRPr="00B83C6E">
        <w:t xml:space="preserve">, a Professional Engineer in the State of </w:t>
      </w:r>
      <w:smartTag w:uri="urn:schemas-microsoft-com:office:smarttags" w:element="place">
        <w:smartTag w:uri="urn:schemas-microsoft-com:office:smarttags" w:element="State">
          <w:r w:rsidRPr="00B83C6E">
            <w:t>Michigan</w:t>
          </w:r>
        </w:smartTag>
      </w:smartTag>
      <w:r w:rsidRPr="00B83C6E">
        <w:t>, certify under penalty of law that this document and attachments were prepared under my direction or supervision in accordance with a system designed to assure that qualified personnel properly gather and evaluate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p w:rsidR="00B83C6E" w:rsidRPr="00B83C6E" w:rsidRDefault="00B83C6E" w:rsidP="0093514E"/>
    <w:p w:rsidR="00B83C6E" w:rsidRPr="00B83C6E" w:rsidRDefault="00B83C6E" w:rsidP="0093514E">
      <w:r w:rsidRPr="00B83C6E">
        <w:t>O'BRIEN &amp; GERE ENGINEERS, INC.</w:t>
      </w:r>
    </w:p>
    <w:p w:rsidR="00B83C6E" w:rsidRPr="00B83C6E" w:rsidRDefault="00B83C6E" w:rsidP="0093514E"/>
    <w:p w:rsidR="00B83C6E" w:rsidRPr="00B83C6E" w:rsidRDefault="00B83C6E" w:rsidP="0093514E">
      <w:r w:rsidRPr="00B83C6E">
        <w:t>____</w:t>
      </w:r>
      <w:r w:rsidRPr="004C7216">
        <w:rPr>
          <w:u w:val="single"/>
        </w:rPr>
        <w:t>_</w:t>
      </w:r>
      <w:r w:rsidR="00585B9B" w:rsidRPr="004C7216" w:rsidDel="00585B9B">
        <w:rPr>
          <w:u w:val="single"/>
        </w:rPr>
        <w:t xml:space="preserve"> </w:t>
      </w:r>
      <w:r w:rsidRPr="004C7216">
        <w:rPr>
          <w:u w:val="single"/>
        </w:rPr>
        <w:t>__</w:t>
      </w:r>
      <w:r w:rsidRPr="00B83C6E">
        <w:t>______________________</w:t>
      </w:r>
    </w:p>
    <w:p w:rsidR="00B83C6E" w:rsidRDefault="00B83C6E" w:rsidP="0093514E">
      <w:r w:rsidRPr="00B83C6E">
        <w:t>Scott L. Cormier, PE</w:t>
      </w:r>
    </w:p>
    <w:p w:rsidR="004C7216" w:rsidRDefault="004C7216" w:rsidP="0093514E">
      <w:pPr>
        <w:sectPr w:rsidR="004C7216" w:rsidSect="00C20B69">
          <w:headerReference w:type="default" r:id="rId8"/>
          <w:footerReference w:type="even" r:id="rId9"/>
          <w:footerReference w:type="default" r:id="rId10"/>
          <w:headerReference w:type="first" r:id="rId11"/>
          <w:footerReference w:type="first" r:id="rId12"/>
          <w:pgSz w:w="12240" w:h="15840" w:code="1"/>
          <w:pgMar w:top="1440" w:right="1080" w:bottom="547" w:left="1080" w:header="1008" w:footer="576" w:gutter="0"/>
          <w:pgNumType w:fmt="lowerRoman"/>
          <w:cols w:space="360"/>
          <w:docGrid w:linePitch="299"/>
        </w:sectPr>
      </w:pPr>
      <w:r>
        <w:t>Vice President</w:t>
      </w:r>
    </w:p>
    <w:p w:rsidR="00B83C6E" w:rsidRPr="00B83C6E" w:rsidRDefault="00B83C6E" w:rsidP="0093514E">
      <w:pPr>
        <w:pStyle w:val="Heading2"/>
      </w:pPr>
      <w:bookmarkStart w:id="21" w:name="_Toc341774506"/>
      <w:bookmarkStart w:id="22" w:name="_Toc352766924"/>
      <w:r w:rsidRPr="00B83C6E">
        <w:t>Owner's Certification</w:t>
      </w:r>
      <w:bookmarkEnd w:id="21"/>
      <w:bookmarkEnd w:id="22"/>
      <w:r w:rsidRPr="00B83C6E">
        <w:t xml:space="preserve"> </w:t>
      </w:r>
    </w:p>
    <w:p w:rsidR="00B83C6E" w:rsidRPr="00B83C6E" w:rsidRDefault="00B83C6E" w:rsidP="0093514E">
      <w:r w:rsidRPr="00B83C6E">
        <w:t xml:space="preserve">I, </w:t>
      </w:r>
      <w:r w:rsidR="004F2180">
        <w:t>David Favero</w:t>
      </w:r>
      <w:r w:rsidRPr="00B83C6E">
        <w:t>, representing RACER Trust certify under penalty of law that this document and all attachments were prepared under my direction or supervision in accordance with a system designed to assure that qualified personnel properly gather and evaluate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p w:rsidR="00175F3D" w:rsidRDefault="00175F3D" w:rsidP="0093514E"/>
    <w:p w:rsidR="00175F3D" w:rsidRPr="00B83C6E" w:rsidRDefault="00175F3D" w:rsidP="0093514E">
      <w:r w:rsidRPr="00B83C6E">
        <w:t>RACER Trust</w:t>
      </w:r>
    </w:p>
    <w:p w:rsidR="00B83C6E" w:rsidRPr="00B83C6E" w:rsidRDefault="00C20B69" w:rsidP="0093514E">
      <w:r>
        <w:tab/>
      </w:r>
    </w:p>
    <w:p w:rsidR="00B83C6E" w:rsidRPr="00B83C6E" w:rsidRDefault="00B83C6E" w:rsidP="0093514E">
      <w:r w:rsidRPr="00B83C6E">
        <w:t>_____</w:t>
      </w:r>
      <w:r w:rsidR="00776EE9" w:rsidRPr="004C7216" w:rsidDel="00776EE9">
        <w:rPr>
          <w:u w:val="single"/>
        </w:rPr>
        <w:t xml:space="preserve"> </w:t>
      </w:r>
      <w:r w:rsidRPr="004C7216">
        <w:rPr>
          <w:u w:val="single"/>
        </w:rPr>
        <w:t>_</w:t>
      </w:r>
      <w:r w:rsidRPr="00B83C6E">
        <w:t>_______________________</w:t>
      </w:r>
    </w:p>
    <w:p w:rsidR="00B83C6E" w:rsidRPr="00B83C6E" w:rsidRDefault="004F2180" w:rsidP="0093514E">
      <w:r>
        <w:t>David Favero</w:t>
      </w:r>
    </w:p>
    <w:p w:rsidR="00B83C6E" w:rsidRPr="00B83C6E" w:rsidRDefault="004F2180" w:rsidP="0093514E">
      <w:r>
        <w:t xml:space="preserve">Deputy </w:t>
      </w:r>
      <w:r w:rsidR="008A00B2">
        <w:t xml:space="preserve">Cleanup Manager- Michigan </w:t>
      </w:r>
    </w:p>
    <w:p w:rsidR="00C20B69" w:rsidRDefault="00C20B69" w:rsidP="0093514E">
      <w:pPr>
        <w:pStyle w:val="Heading1"/>
        <w:sectPr w:rsidR="00C20B69" w:rsidSect="00C20B69">
          <w:pgSz w:w="12240" w:h="15840" w:code="1"/>
          <w:pgMar w:top="1440" w:right="1080" w:bottom="547" w:left="1080" w:header="1008" w:footer="576" w:gutter="0"/>
          <w:pgNumType w:fmt="lowerRoman"/>
          <w:cols w:space="360"/>
          <w:docGrid w:linePitch="299"/>
        </w:sectPr>
      </w:pPr>
    </w:p>
    <w:p w:rsidR="00B83C6E" w:rsidRPr="00B83C6E" w:rsidRDefault="004C7216" w:rsidP="0093514E">
      <w:pPr>
        <w:pStyle w:val="Heading1"/>
      </w:pPr>
      <w:bookmarkStart w:id="23" w:name="_Toc341774507"/>
      <w:bookmarkStart w:id="24" w:name="_Toc352766925"/>
      <w:r>
        <w:t>1</w:t>
      </w:r>
      <w:r w:rsidR="00B83C6E" w:rsidRPr="00B83C6E">
        <w:t xml:space="preserve"> Introduction</w:t>
      </w:r>
      <w:bookmarkEnd w:id="23"/>
      <w:bookmarkEnd w:id="24"/>
    </w:p>
    <w:p w:rsidR="00B83C6E" w:rsidRPr="00B83C6E" w:rsidRDefault="00B83C6E" w:rsidP="0093514E">
      <w:r w:rsidRPr="00B83C6E">
        <w:t xml:space="preserve">This Addendum to the June 1999 Closure Certification Addendum Report for the Former Wastewater Treatment Plant </w:t>
      </w:r>
      <w:r w:rsidR="00B91F87">
        <w:t xml:space="preserve">(WWTP) </w:t>
      </w:r>
      <w:r w:rsidRPr="00B83C6E">
        <w:t>at the Coldwater Road Facility (201</w:t>
      </w:r>
      <w:r w:rsidR="00412F55">
        <w:t>3</w:t>
      </w:r>
      <w:r w:rsidRPr="00B83C6E">
        <w:t xml:space="preserve"> Addendum Report) documents final closure of the former WWTP at the RACER Trust Coldwater Road Landfill facility in Flint, Michigan. </w:t>
      </w:r>
    </w:p>
    <w:p w:rsidR="00B83C6E" w:rsidRPr="00B83C6E" w:rsidRDefault="00B83C6E" w:rsidP="0093514E">
      <w:pPr>
        <w:pStyle w:val="Heading2"/>
      </w:pPr>
      <w:r w:rsidRPr="00B83C6E">
        <w:t xml:space="preserve"> </w:t>
      </w:r>
      <w:bookmarkStart w:id="25" w:name="_Toc341774508"/>
      <w:bookmarkStart w:id="26" w:name="_Toc352766926"/>
      <w:r w:rsidR="004C7216">
        <w:t xml:space="preserve">1.1 </w:t>
      </w:r>
      <w:r w:rsidRPr="00B83C6E">
        <w:t>Site History</w:t>
      </w:r>
      <w:bookmarkEnd w:id="25"/>
      <w:bookmarkEnd w:id="26"/>
    </w:p>
    <w:p w:rsidR="00B83C6E" w:rsidRPr="00B83C6E" w:rsidRDefault="004C7216" w:rsidP="0093514E">
      <w:pPr>
        <w:pStyle w:val="Heading3"/>
      </w:pPr>
      <w:bookmarkStart w:id="27" w:name="_Toc341774509"/>
      <w:bookmarkStart w:id="28" w:name="_Toc352766927"/>
      <w:r>
        <w:t xml:space="preserve">1.1.1 </w:t>
      </w:r>
      <w:r w:rsidR="00B83C6E" w:rsidRPr="00B83C6E">
        <w:t>Site Description</w:t>
      </w:r>
      <w:bookmarkEnd w:id="27"/>
      <w:bookmarkEnd w:id="28"/>
    </w:p>
    <w:p w:rsidR="00B83C6E" w:rsidRPr="00B83C6E" w:rsidRDefault="00B83C6E" w:rsidP="0093514E">
      <w:r w:rsidRPr="00B83C6E">
        <w:t xml:space="preserve">The RACER Trust Coldwater Road Landfill facility is located north of the RACER Trust former Peregrine U.S., Inc. (RACER Trust former Peregrine property) property as shown on the Site Location Map, Figure 1. The RACER Trust Coldwater Road Landfill facility consists of the wastewater treatment sludge </w:t>
      </w:r>
      <w:proofErr w:type="spellStart"/>
      <w:r w:rsidRPr="00B83C6E">
        <w:t>monofill</w:t>
      </w:r>
      <w:proofErr w:type="spellEnd"/>
      <w:r w:rsidRPr="00B83C6E">
        <w:t xml:space="preserve"> landfill, former </w:t>
      </w:r>
      <w:r w:rsidR="005B39F3">
        <w:t xml:space="preserve">WWTP </w:t>
      </w:r>
      <w:r w:rsidRPr="00B83C6E">
        <w:t xml:space="preserve">(decommissioned and demolished in 1999), restored wetlands, and </w:t>
      </w:r>
      <w:proofErr w:type="spellStart"/>
      <w:r w:rsidRPr="00B83C6E">
        <w:t>leachate</w:t>
      </w:r>
      <w:proofErr w:type="spellEnd"/>
      <w:r w:rsidRPr="00B83C6E">
        <w:t xml:space="preserve"> accumulation facility. This facility is bordered on the south by the RACER Trust former Peregrine property, which formerly contained several manufacturing buildings and support facilities. The buildings on the RACER Trust former Peregrine property were decommissioned and demolished between 1999 and 2001. A figure depicting the division between the RACER Coldwater Road Landfill facility and the RACER Trust former Peregrine property is included as Figure 2.</w:t>
      </w:r>
      <w:r w:rsidR="00783A66">
        <w:t xml:space="preserve"> </w:t>
      </w:r>
    </w:p>
    <w:p w:rsidR="00B83C6E" w:rsidRPr="00B83C6E" w:rsidRDefault="004C7216" w:rsidP="0093514E">
      <w:pPr>
        <w:pStyle w:val="Heading3"/>
      </w:pPr>
      <w:bookmarkStart w:id="29" w:name="_Toc341774510"/>
      <w:bookmarkStart w:id="30" w:name="_Toc352766928"/>
      <w:r>
        <w:t xml:space="preserve">1.1.2 </w:t>
      </w:r>
      <w:r w:rsidR="00B83C6E" w:rsidRPr="00B83C6E">
        <w:t>Site Ownership</w:t>
      </w:r>
      <w:bookmarkEnd w:id="29"/>
      <w:bookmarkEnd w:id="30"/>
    </w:p>
    <w:p w:rsidR="00B83C6E" w:rsidRPr="00B83C6E" w:rsidRDefault="00B83C6E" w:rsidP="0093514E">
      <w:r w:rsidRPr="00B83C6E">
        <w:t>On December 10, 1996, an asset Purchase Agreement for the manufacturing portion of the Coldwater Road site</w:t>
      </w:r>
      <w:r w:rsidR="00AC40D0">
        <w:t xml:space="preserve">, which is now </w:t>
      </w:r>
      <w:r w:rsidR="00AC40D0" w:rsidRPr="00B83C6E">
        <w:t>referred to as the "RACER Trust former Peregrine property, MID 000 020 743"</w:t>
      </w:r>
      <w:r w:rsidR="00AC40D0">
        <w:t>,</w:t>
      </w:r>
      <w:r w:rsidRPr="00B83C6E">
        <w:t xml:space="preserve"> was signed by General Motors (GM) and Peregrine. GM retained ownership of the northern portion</w:t>
      </w:r>
      <w:r w:rsidR="00AC40D0">
        <w:t xml:space="preserve">, </w:t>
      </w:r>
      <w:r w:rsidRPr="00B83C6E">
        <w:t>which is now referred to as the "RACER Trust Coldwater Road Landfill facility MID 005 356 860" and sold the manufacturing facility (</w:t>
      </w:r>
      <w:r w:rsidR="00585B9B">
        <w:t>Former Peregrine Property</w:t>
      </w:r>
      <w:r w:rsidRPr="00B83C6E">
        <w:t xml:space="preserve">). In August 1999, REALM (a wholly owned subsidiary of GM) took back ownership of the manufacturing facility from Peregrine. </w:t>
      </w:r>
      <w:r w:rsidR="00A50423">
        <w:t>In April</w:t>
      </w:r>
      <w:r w:rsidR="00A50423" w:rsidRPr="00B83C6E">
        <w:t xml:space="preserve"> 2000 a MDEQ Notification of Regulated Waste Activity form (EQP5150) and </w:t>
      </w:r>
      <w:r w:rsidR="00A50423">
        <w:t>United States Environmental Protection Agency (USEPA)</w:t>
      </w:r>
      <w:r w:rsidR="00A50423" w:rsidRPr="00B83C6E">
        <w:t xml:space="preserve"> Hazardous Waste Permit Application Part A (</w:t>
      </w:r>
      <w:r w:rsidR="00A50423">
        <w:t>US</w:t>
      </w:r>
      <w:r w:rsidR="00A50423" w:rsidRPr="00B83C6E">
        <w:t xml:space="preserve">EPA form 8700-23) were submitted to document change of ownership of the landfill and the former WWTP property from GM to REALM. REALM, a wholly-owned subsidiary of GM, managed the </w:t>
      </w:r>
      <w:r w:rsidR="00A50423">
        <w:t>Resource Conservation and Recovery Act (</w:t>
      </w:r>
      <w:r w:rsidR="00A50423" w:rsidRPr="00B83C6E">
        <w:t>RCRA</w:t>
      </w:r>
      <w:r w:rsidR="00A50423">
        <w:t>)</w:t>
      </w:r>
      <w:r w:rsidR="00A50423" w:rsidRPr="00B83C6E">
        <w:t xml:space="preserve"> closure program for the REALM Coldwater Road Landfill facility under the 1992 Corrective Action Consent Order (CACO) until </w:t>
      </w:r>
      <w:r w:rsidR="00B67065">
        <w:t>REALM filed for</w:t>
      </w:r>
      <w:r w:rsidR="00A50423" w:rsidRPr="00B83C6E">
        <w:t xml:space="preserve"> bankruptcy in </w:t>
      </w:r>
      <w:r w:rsidR="00B67065">
        <w:t>October</w:t>
      </w:r>
      <w:r w:rsidR="00A50423" w:rsidRPr="00B83C6E">
        <w:t xml:space="preserve"> 2009</w:t>
      </w:r>
      <w:r w:rsidR="00B67065">
        <w:t xml:space="preserve"> at which time</w:t>
      </w:r>
      <w:r w:rsidR="00AC40D0">
        <w:t xml:space="preserve"> </w:t>
      </w:r>
      <w:r w:rsidR="00AE6F81" w:rsidRPr="004D42EC">
        <w:t>M</w:t>
      </w:r>
      <w:r w:rsidR="00B67065">
        <w:t>otors Liquidation Company (M</w:t>
      </w:r>
      <w:r w:rsidR="00AE6F81" w:rsidRPr="004D42EC">
        <w:t>LC</w:t>
      </w:r>
      <w:r w:rsidR="00B67065">
        <w:t>), which was the former GM,</w:t>
      </w:r>
      <w:r w:rsidR="00AE6F81" w:rsidRPr="004D42EC">
        <w:t xml:space="preserve"> assumed management of the property</w:t>
      </w:r>
      <w:r w:rsidR="00B67065">
        <w:t>.</w:t>
      </w:r>
      <w:r w:rsidR="00A50423" w:rsidRPr="00B83C6E">
        <w:t xml:space="preserve"> </w:t>
      </w:r>
      <w:r w:rsidRPr="00B83C6E">
        <w:t xml:space="preserve">The RACER Trust was created </w:t>
      </w:r>
      <w:r w:rsidR="00B67065">
        <w:t>o</w:t>
      </w:r>
      <w:r w:rsidRPr="00B83C6E">
        <w:t xml:space="preserve">n March </w:t>
      </w:r>
      <w:r w:rsidR="00B67065">
        <w:t xml:space="preserve">31, </w:t>
      </w:r>
      <w:r w:rsidRPr="00B83C6E">
        <w:t>2011 by the U.S. Bankruptcy Court to clean up and position for redevelopment properties and facilities owned by the former GM and its subsidiaries. The Coldwater Road Landfill facility (including the former WWTP) and the former Peregrin</w:t>
      </w:r>
      <w:r w:rsidR="008A00B2">
        <w:t>e</w:t>
      </w:r>
      <w:r w:rsidRPr="00B83C6E">
        <w:t xml:space="preserve"> property were two of the properties assigned to </w:t>
      </w:r>
      <w:r w:rsidR="008A00B2">
        <w:t xml:space="preserve">the </w:t>
      </w:r>
      <w:r w:rsidRPr="00B83C6E">
        <w:t xml:space="preserve">RACER Trust. </w:t>
      </w:r>
      <w:r w:rsidR="00A50423">
        <w:t>T</w:t>
      </w:r>
      <w:r w:rsidR="00A50423" w:rsidRPr="00B83C6E">
        <w:t xml:space="preserve">he RACER Trust currently manages the RCRA closure program for the Coldwater Road Landfill facility under the 1992 </w:t>
      </w:r>
      <w:r w:rsidR="00A50423">
        <w:t xml:space="preserve">CACO. </w:t>
      </w:r>
    </w:p>
    <w:p w:rsidR="00B83C6E" w:rsidRPr="00B83C6E" w:rsidRDefault="004C7216" w:rsidP="0093514E">
      <w:pPr>
        <w:pStyle w:val="Heading3"/>
      </w:pPr>
      <w:bookmarkStart w:id="31" w:name="_Toc341774511"/>
      <w:bookmarkStart w:id="32" w:name="_Toc352766929"/>
      <w:r>
        <w:t xml:space="preserve">1.1.3 </w:t>
      </w:r>
      <w:r w:rsidR="00B83C6E" w:rsidRPr="00B83C6E">
        <w:t>RCRA Closure</w:t>
      </w:r>
      <w:bookmarkEnd w:id="31"/>
      <w:bookmarkEnd w:id="32"/>
    </w:p>
    <w:p w:rsidR="00B83C6E" w:rsidRPr="00B83C6E" w:rsidRDefault="00B83C6E" w:rsidP="0093514E">
      <w:r w:rsidRPr="00B83C6E">
        <w:t xml:space="preserve">Several of the RCRA units and </w:t>
      </w:r>
      <w:r w:rsidR="000E334E">
        <w:t>Solid Waste Management Units (</w:t>
      </w:r>
      <w:r w:rsidRPr="00B83C6E">
        <w:t>SWMUs</w:t>
      </w:r>
      <w:r w:rsidR="000E334E">
        <w:t>)</w:t>
      </w:r>
      <w:r w:rsidRPr="00B83C6E">
        <w:t xml:space="preserve"> were closed in accordance with the 1989 Closure Plan during construction of the on-site hazardous waste landfill between 1990 and 1994. Roy F. Weston, Inc. (</w:t>
      </w:r>
      <w:smartTag w:uri="urn:schemas:contacts" w:element="Sn">
        <w:r w:rsidRPr="00B83C6E">
          <w:t>Weston</w:t>
        </w:r>
      </w:smartTag>
      <w:r w:rsidRPr="00B83C6E">
        <w:t>) provided quality assurance oversight and closure verification during this construction phase. As documented in the Draft Closure Certi</w:t>
      </w:r>
      <w:r w:rsidR="000E334E">
        <w:t>fication Documentation Package (</w:t>
      </w:r>
      <w:r w:rsidRPr="00B83C6E">
        <w:t>Weston, November 1994</w:t>
      </w:r>
      <w:r w:rsidR="000E334E">
        <w:t>)</w:t>
      </w:r>
      <w:r w:rsidRPr="00B83C6E">
        <w:t>, there were several units not closed at the completion of landfill construction. Closure of these remaining units was completed between 1994 and 2003 with oversight provided by O'Brien &amp; Gere. Closure documentation for all units covered under the CACO for the RACER Trust Coldwater Road Landfill facility is provided in the following seven final closure reports:</w:t>
      </w:r>
    </w:p>
    <w:p w:rsidR="00B83C6E" w:rsidRPr="00B83C6E" w:rsidRDefault="00B83C6E" w:rsidP="0093514E">
      <w:pPr>
        <w:pStyle w:val="Bullet-1"/>
      </w:pPr>
      <w:r w:rsidRPr="00B83C6E">
        <w:t xml:space="preserve">Final Closure Certification Documentation Package -Decontamination Pits and Sump, Chromium Reduction Basins at the WWTP, September 1998, Roy F. Weston, Inc. (Weston). </w:t>
      </w:r>
    </w:p>
    <w:p w:rsidR="00B83C6E" w:rsidRPr="00B83C6E" w:rsidRDefault="00B83C6E" w:rsidP="0093514E">
      <w:pPr>
        <w:pStyle w:val="Bullet-1"/>
      </w:pPr>
      <w:r w:rsidRPr="00B83C6E">
        <w:t xml:space="preserve">Subsurface Investigation of Decontamination Pits/Sump and Chromium Reduction Basins Report, June 1999, O'Brien &amp; Gere Engineers, Inc. (O'Brien &amp; Gere). </w:t>
      </w:r>
    </w:p>
    <w:p w:rsidR="00B83C6E" w:rsidRPr="00B83C6E" w:rsidRDefault="00B83C6E" w:rsidP="0093514E">
      <w:pPr>
        <w:pStyle w:val="Bullet-1"/>
      </w:pPr>
      <w:r w:rsidRPr="00B83C6E">
        <w:t>Final Closure Certification, former Drum Storage Area and Waste Pile Pad, June 1999, Weston.</w:t>
      </w:r>
    </w:p>
    <w:p w:rsidR="00B83C6E" w:rsidRPr="00B83C6E" w:rsidRDefault="00B83C6E" w:rsidP="0093514E">
      <w:pPr>
        <w:pStyle w:val="Bullet-1"/>
      </w:pPr>
      <w:r w:rsidRPr="00B83C6E">
        <w:t>Part I - Final Closure Certification Documentation, November 2000, O'Brien &amp; Gere and subsequent data submittals.</w:t>
      </w:r>
    </w:p>
    <w:p w:rsidR="00B83C6E" w:rsidRPr="00B83C6E" w:rsidRDefault="00B83C6E" w:rsidP="0093514E">
      <w:pPr>
        <w:pStyle w:val="Bullet-1"/>
      </w:pPr>
      <w:r w:rsidRPr="00B83C6E">
        <w:t>Part II - Final Closure Certification Documentation, November 2000, Weston and subsequent data submittals.</w:t>
      </w:r>
    </w:p>
    <w:p w:rsidR="00B83C6E" w:rsidRPr="00B83C6E" w:rsidRDefault="00B83C6E" w:rsidP="0093514E">
      <w:pPr>
        <w:pStyle w:val="Bullet-1"/>
      </w:pPr>
      <w:r w:rsidRPr="00B83C6E">
        <w:t>Addendum to the June 1999 Closure Certification Report for the Former Drum Storage Area at the Former Peregrine, U.S., Inc. Property at the Coldwater Road Facility. January 2005, O’Brien and Gere.</w:t>
      </w:r>
    </w:p>
    <w:p w:rsidR="00397ADD" w:rsidRDefault="00B83C6E" w:rsidP="0093514E">
      <w:pPr>
        <w:pStyle w:val="Bullet-1"/>
      </w:pPr>
      <w:r w:rsidRPr="00B83C6E">
        <w:t>Addendum to the June 1999 Closure Certification Report for the Former Drum Storage Area at the Former Peregrine, U.S., Inc. Property at the Coldwater Road Facility. September 2008, O’Brien and Gere.</w:t>
      </w:r>
    </w:p>
    <w:p w:rsidR="00585B9B" w:rsidRDefault="00585B9B" w:rsidP="0093514E">
      <w:pPr>
        <w:pStyle w:val="Bullet-1"/>
      </w:pPr>
    </w:p>
    <w:p w:rsidR="00EB029F" w:rsidRDefault="00397ADD" w:rsidP="00585B9B">
      <w:pPr>
        <w:pStyle w:val="Bullet-1"/>
        <w:numPr>
          <w:ilvl w:val="0"/>
          <w:numId w:val="0"/>
        </w:numPr>
        <w:ind w:left="274" w:hanging="274"/>
      </w:pPr>
      <w:r>
        <w:t xml:space="preserve">The </w:t>
      </w:r>
      <w:r w:rsidR="009C2CC2">
        <w:t>f</w:t>
      </w:r>
      <w:r>
        <w:t>ormer WWTP was not listed in the 1992 CACO for the Site. The regulatory background for the WWTP is discussed in Section 1.</w:t>
      </w:r>
      <w:r w:rsidR="00E16298">
        <w:t>2</w:t>
      </w:r>
      <w:r>
        <w:t>.</w:t>
      </w:r>
    </w:p>
    <w:p w:rsidR="00B83C6E" w:rsidRPr="00B83C6E" w:rsidRDefault="004C7216" w:rsidP="0093514E">
      <w:pPr>
        <w:pStyle w:val="Heading2"/>
      </w:pPr>
      <w:bookmarkStart w:id="33" w:name="_Toc341774512"/>
      <w:bookmarkStart w:id="34" w:name="_Toc352766930"/>
      <w:r>
        <w:t xml:space="preserve">1.2 </w:t>
      </w:r>
      <w:r w:rsidR="00B83C6E" w:rsidRPr="00B83C6E">
        <w:t>Former Wastewater Treatment Plant Background</w:t>
      </w:r>
      <w:bookmarkEnd w:id="33"/>
      <w:bookmarkEnd w:id="34"/>
    </w:p>
    <w:p w:rsidR="00B83C6E" w:rsidRPr="00B83C6E" w:rsidRDefault="00B83C6E" w:rsidP="0093514E">
      <w:r w:rsidRPr="00B83C6E">
        <w:t>The former WWTP at the Coldwater Road Landfill facility is located at the southwestern corner of the property as shown on Figure 2 (Site Plan). The WWTP was constructed in the early 1950s to treat plating waste streams as generated by the manufacturing facility. Plating operations ran from 1953 to 1987. Process wastewater from the former manufacturing plant discharged to the former WWTP in force mains. Chemical/physical treatment of the process wastewater was performed at the former WWTP on a batch basis. The chromium, nickel, and acid/alkali wastes were combined and treated for heavy metal removal, whereas the copper-cyanide waste was treated separately.</w:t>
      </w:r>
    </w:p>
    <w:p w:rsidR="00B83C6E" w:rsidRPr="00B83C6E" w:rsidRDefault="00B83C6E" w:rsidP="0093514E">
      <w:r w:rsidRPr="00B83C6E">
        <w:t xml:space="preserve">Use of the WWTP was terminated in December 1996 when the manufacturing plant was sold to Peregrine, Inc. The WWTP building and associated basins were subsequently decontaminated and demolished between December 1998 and May 1999. </w:t>
      </w:r>
    </w:p>
    <w:p w:rsidR="00B83C6E" w:rsidRPr="00B83C6E" w:rsidRDefault="00B83C6E" w:rsidP="0093514E">
      <w:r w:rsidRPr="00B83C6E">
        <w:t xml:space="preserve">Concurrent to WWTP demolition, REALM voluntarily implemented an investigation at the former WWTP to evaluate potential releases from the surrounding basins. The former WWTP basin investigation was performed in accordance with procedures outlined in O'Brien &amp; </w:t>
      </w:r>
      <w:proofErr w:type="spellStart"/>
      <w:r w:rsidRPr="00B83C6E">
        <w:t>Gere's</w:t>
      </w:r>
      <w:proofErr w:type="spellEnd"/>
      <w:r w:rsidRPr="00B83C6E">
        <w:t xml:space="preserve"> January 1999 Quality Assurance Project Plan (QAPP) and Three Basement Basin Sampling and Analysis Plan (</w:t>
      </w:r>
      <w:smartTag w:uri="urn:schemas-microsoft-com:office:smarttags" w:element="stockticker">
        <w:r w:rsidRPr="00B83C6E">
          <w:t>SAP</w:t>
        </w:r>
      </w:smartTag>
      <w:r w:rsidRPr="00B83C6E">
        <w:t xml:space="preserve">) developed for the </w:t>
      </w:r>
      <w:smartTag w:uri="urn:schemas-microsoft-com:office:smarttags" w:element="Street">
        <w:smartTag w:uri="urn:schemas-microsoft-com:office:smarttags" w:element="address">
          <w:r w:rsidRPr="00B83C6E">
            <w:t>Coldwater Road</w:t>
          </w:r>
        </w:smartTag>
      </w:smartTag>
      <w:r w:rsidRPr="00B83C6E">
        <w:t xml:space="preserve"> facility. The basin investigation was performed between September 1998 and May 1999. It should be noted that during this investigation three soil borings were proposed to be monitoring wells. However, wet subsurface soil conditions were not observed during soil boring installation, therefore no wells were installed. </w:t>
      </w:r>
    </w:p>
    <w:p w:rsidR="00B83C6E" w:rsidRPr="00B83C6E" w:rsidRDefault="00B83C6E" w:rsidP="0093514E">
      <w:r w:rsidRPr="00B83C6E">
        <w:t>The basin investigation included collection of subsurface soil samples underneath and around the former WWTP and surrounding basins, concrete samples from the basins and f</w:t>
      </w:r>
      <w:r w:rsidR="00E660BD">
        <w:t xml:space="preserve">ormer WWTP basement floor, </w:t>
      </w:r>
      <w:proofErr w:type="spellStart"/>
      <w:r w:rsidR="00E660BD">
        <w:t>rins</w:t>
      </w:r>
      <w:r w:rsidRPr="00B83C6E">
        <w:t>ate</w:t>
      </w:r>
      <w:proofErr w:type="spellEnd"/>
      <w:r w:rsidRPr="00B83C6E">
        <w:t xml:space="preserve"> samples, and groundwater samples from two </w:t>
      </w:r>
      <w:r w:rsidR="00446FE1">
        <w:t>existing</w:t>
      </w:r>
      <w:r w:rsidR="0016266B">
        <w:t xml:space="preserve"> </w:t>
      </w:r>
      <w:r w:rsidRPr="00B83C6E">
        <w:t xml:space="preserve">monitoring wells </w:t>
      </w:r>
      <w:r w:rsidR="00446FE1">
        <w:t xml:space="preserve">(MW-11 and MW12) </w:t>
      </w:r>
      <w:r w:rsidRPr="00B83C6E">
        <w:t xml:space="preserve">located southwest of the former WWTP. The former WWTP layout and previous </w:t>
      </w:r>
      <w:r w:rsidR="001B41A8">
        <w:t xml:space="preserve">soil </w:t>
      </w:r>
      <w:r w:rsidRPr="00B83C6E">
        <w:t xml:space="preserve">sample locations are shown on Figure </w:t>
      </w:r>
      <w:r w:rsidR="00F1318F">
        <w:t>A</w:t>
      </w:r>
      <w:r w:rsidR="00446FE1">
        <w:t>-1</w:t>
      </w:r>
      <w:r w:rsidR="00F1318F">
        <w:t xml:space="preserve"> in Appendix A</w:t>
      </w:r>
      <w:r w:rsidRPr="00B83C6E">
        <w:t xml:space="preserve">. Results of the basin investigation were reported to the MDEQ in the Former </w:t>
      </w:r>
      <w:r w:rsidR="005B39F3">
        <w:t xml:space="preserve">WWTP </w:t>
      </w:r>
      <w:r w:rsidRPr="00B83C6E">
        <w:t xml:space="preserve">Basin Investigation Report dated November 2000. The analytical results summary tables from the </w:t>
      </w:r>
      <w:r w:rsidR="0016266B">
        <w:t>B</w:t>
      </w:r>
      <w:r w:rsidRPr="00B83C6E">
        <w:t xml:space="preserve">asin </w:t>
      </w:r>
      <w:r w:rsidR="0016266B">
        <w:t>I</w:t>
      </w:r>
      <w:r w:rsidRPr="00B83C6E">
        <w:t xml:space="preserve">nvestigation </w:t>
      </w:r>
      <w:r w:rsidR="0016266B">
        <w:t xml:space="preserve">Report </w:t>
      </w:r>
      <w:r w:rsidRPr="00B83C6E">
        <w:t xml:space="preserve">are included in Appendix A. The results supported closure approval and no further action for the former WWTP basins </w:t>
      </w:r>
      <w:r w:rsidRPr="00E74694">
        <w:t>a</w:t>
      </w:r>
      <w:r w:rsidRPr="00B83C6E">
        <w:t xml:space="preserve">nd surrounding area. However, in a letter from the MDEQ Waste and Hazardous Material Division (WHMD) dated </w:t>
      </w:r>
      <w:smartTag w:uri="urn:schemas-microsoft-com:office:smarttags" w:element="date">
        <w:smartTagPr>
          <w:attr w:name="ls" w:val="trans"/>
          <w:attr w:name="Month" w:val="3"/>
          <w:attr w:name="Day" w:val="24"/>
          <w:attr w:name="Year" w:val="2005"/>
        </w:smartTagPr>
        <w:r w:rsidRPr="00B83C6E">
          <w:t>March 24, 2005</w:t>
        </w:r>
      </w:smartTag>
      <w:r w:rsidRPr="00B83C6E">
        <w:t xml:space="preserve">, the MDEQ did not extend the "no further action" determination to the former WWTP. The MDEQ indicated that the no further action did not meet the requirements specified in Parts 111 and 201, specifically, the dissolved lead in groundwater was not delineated. The dissolved lead in groundwater analytical results from the WWTP basin investigation area are included in Appendix </w:t>
      </w:r>
      <w:proofErr w:type="gramStart"/>
      <w:r w:rsidRPr="00B83C6E">
        <w:t>A</w:t>
      </w:r>
      <w:proofErr w:type="gramEnd"/>
      <w:r w:rsidRPr="00B83C6E">
        <w:t xml:space="preserve">, on page 5 of Table 1. </w:t>
      </w:r>
      <w:r w:rsidR="00A2265A">
        <w:t xml:space="preserve">A detailed discussion of the Basin Investigation Report is included in </w:t>
      </w:r>
      <w:r w:rsidR="00A21DD9">
        <w:t>S</w:t>
      </w:r>
      <w:r w:rsidR="00A2265A">
        <w:t>ection 1.2.1.</w:t>
      </w:r>
    </w:p>
    <w:p w:rsidR="004C263E" w:rsidRPr="00B83C6E" w:rsidRDefault="00B83C6E" w:rsidP="0093514E">
      <w:r w:rsidRPr="00B83C6E">
        <w:t xml:space="preserve"> </w:t>
      </w:r>
      <w:r w:rsidR="00A2265A">
        <w:t>A</w:t>
      </w:r>
      <w:r w:rsidRPr="00B83C6E">
        <w:t xml:space="preserve"> Work Plan was prepared and submitted to the MDEQ in April 2006, which addressed </w:t>
      </w:r>
      <w:r w:rsidR="00A2265A">
        <w:t xml:space="preserve">the issues raised by the MDEQ in their March 24, 2005 letter. The Work Plan proposed </w:t>
      </w:r>
      <w:r w:rsidRPr="00B83C6E">
        <w:t>investigating the concentrations of dissolved lead in groundwater</w:t>
      </w:r>
      <w:r w:rsidR="004B2AA1">
        <w:t xml:space="preserve"> at the former WWTP</w:t>
      </w:r>
      <w:r w:rsidRPr="00B83C6E">
        <w:t xml:space="preserve">. The MDEQ reviewed the Work Plan and </w:t>
      </w:r>
      <w:r w:rsidR="004C263E">
        <w:t xml:space="preserve">after minor modifications were included, the Work Plan was approved in </w:t>
      </w:r>
      <w:r w:rsidRPr="00B83C6E">
        <w:t>a letter dated January 26, 2007</w:t>
      </w:r>
      <w:r w:rsidR="004C263E">
        <w:t>.</w:t>
      </w:r>
      <w:r w:rsidRPr="00B83C6E">
        <w:t xml:space="preserve"> Results of the December 2006 Work Plan investigation were reported to the MDEQ in the 2008 Addendum Report dated September 2008. The analytical results summary tables from the 2008 Addendum Report are included in Appendix B. The results supported closure approval and no further action for the former WWTP basins and surrounding area. However, in a letter from the MDEQ WHMD dated March 24, 2009, the MDEQ did not extend the "no further action" determination to the former WWTP. The MDEQ comments to the 2008 Addendum Report indicated that several issues remained unresolved; specifically, that the dissolved iron and manganese in groundwater w</w:t>
      </w:r>
      <w:r w:rsidR="00CE3C78">
        <w:t>ere</w:t>
      </w:r>
      <w:r w:rsidRPr="00B83C6E">
        <w:t xml:space="preserve"> not delineated horizontally, and that one of the report’s conclusions, that shallow groundwater at the site was not in a</w:t>
      </w:r>
      <w:r w:rsidR="00CE3C78">
        <w:t>n</w:t>
      </w:r>
      <w:r w:rsidRPr="00B83C6E">
        <w:t xml:space="preserve"> aquifer, could not be supported unless that designation is formally approved through submittal of a Groundwater Not In An Aquifer (GWNIAA) Determination. Additionally, in a teleconference call on May 4, 2009, the MDEQ expressed concern that </w:t>
      </w:r>
      <w:r w:rsidR="000E334E">
        <w:t>volatile organic compounds (</w:t>
      </w:r>
      <w:r w:rsidRPr="00B83C6E">
        <w:t>VOCs</w:t>
      </w:r>
      <w:r w:rsidR="000E334E">
        <w:t>)</w:t>
      </w:r>
      <w:r w:rsidRPr="00B83C6E">
        <w:t xml:space="preserve"> in soil were not delineated vertically. </w:t>
      </w:r>
      <w:r w:rsidR="004C263E">
        <w:t xml:space="preserve">A detailed discussion of the 2008 Addendum Report is included in </w:t>
      </w:r>
      <w:r w:rsidR="00C77B4F">
        <w:t>S</w:t>
      </w:r>
      <w:r w:rsidR="004C263E">
        <w:t>ection 1.2.2.</w:t>
      </w:r>
    </w:p>
    <w:p w:rsidR="00B83C6E" w:rsidRPr="00B83C6E" w:rsidRDefault="00B83C6E" w:rsidP="0093514E">
      <w:r w:rsidRPr="00B83C6E">
        <w:t xml:space="preserve">A response to MDEQ comments </w:t>
      </w:r>
      <w:r w:rsidR="001B1A11">
        <w:t xml:space="preserve">on the 2008 Addendum Report </w:t>
      </w:r>
      <w:r w:rsidRPr="00B83C6E">
        <w:t xml:space="preserve">was submitted to the MDEQ July 13, 2009 </w:t>
      </w:r>
      <w:r w:rsidR="005B4934">
        <w:t>which</w:t>
      </w:r>
      <w:r w:rsidRPr="00B83C6E">
        <w:t xml:space="preserve"> addressed the GWNIAA issue and two of the three delineation concerns (iron and VOCs) that were raised by the MDEQ. The July 13, 2009 response also proposed an additional investigation to address the third delineation concern (dissolved manganese in groundwater). The MDEQ approved the response to their comments and a</w:t>
      </w:r>
      <w:r w:rsidR="005B4934">
        <w:t>pproved</w:t>
      </w:r>
      <w:r w:rsidRPr="00B83C6E">
        <w:t xml:space="preserve"> the additional investigation in a letter dated September 26, 2011. </w:t>
      </w:r>
    </w:p>
    <w:p w:rsidR="00B83C6E" w:rsidRDefault="00B83C6E" w:rsidP="0093514E">
      <w:r w:rsidRPr="00B83C6E">
        <w:t>Section 1.</w:t>
      </w:r>
      <w:r w:rsidR="001B1A11">
        <w:t>2.3</w:t>
      </w:r>
      <w:r w:rsidRPr="00B83C6E">
        <w:t xml:space="preserve"> of this </w:t>
      </w:r>
      <w:r w:rsidR="00B1024F">
        <w:t>2013 Addendum Report</w:t>
      </w:r>
      <w:r w:rsidRPr="00B83C6E">
        <w:t xml:space="preserve"> summarizes the MDEQ comments to the 2008 Addendum Report and the response to those comments</w:t>
      </w:r>
      <w:r w:rsidR="00356DC3">
        <w:t>.</w:t>
      </w:r>
      <w:r w:rsidRPr="00B83C6E">
        <w:t xml:space="preserve"> Section 2.0 presents the results of the additional investigation. MDEQ comments to the 2008 Addendum Report</w:t>
      </w:r>
      <w:r w:rsidR="001B1A11">
        <w:t xml:space="preserve"> are included in Attachment A</w:t>
      </w:r>
      <w:r w:rsidRPr="00B83C6E">
        <w:t>, the July 13, 2009 response to MDEQ comments</w:t>
      </w:r>
      <w:r w:rsidR="001B1A11">
        <w:t xml:space="preserve"> are included in Attachment B</w:t>
      </w:r>
      <w:r w:rsidRPr="00B83C6E">
        <w:t xml:space="preserve">, and the MDEQ’s letter accepting the response to comments (dated September 26, 2011) </w:t>
      </w:r>
      <w:r w:rsidR="001B1A11">
        <w:t>is</w:t>
      </w:r>
      <w:r w:rsidR="001B1A11" w:rsidRPr="00B83C6E">
        <w:t xml:space="preserve"> </w:t>
      </w:r>
      <w:r w:rsidRPr="00B83C6E">
        <w:t>included as Attachment C.</w:t>
      </w:r>
    </w:p>
    <w:p w:rsidR="001B1A11" w:rsidRPr="00B83C6E" w:rsidRDefault="001B1A11" w:rsidP="0093514E">
      <w:pPr>
        <w:pStyle w:val="Heading3"/>
      </w:pPr>
      <w:bookmarkStart w:id="35" w:name="_Toc352766931"/>
      <w:r>
        <w:t>1.</w:t>
      </w:r>
      <w:r w:rsidR="0080525A">
        <w:t>2</w:t>
      </w:r>
      <w:r>
        <w:t xml:space="preserve">.1 </w:t>
      </w:r>
      <w:r w:rsidRPr="00B83C6E">
        <w:t>Basin Investigation Report</w:t>
      </w:r>
      <w:bookmarkEnd w:id="35"/>
    </w:p>
    <w:p w:rsidR="001B1A11" w:rsidRDefault="001B1A11" w:rsidP="0093514E">
      <w:r w:rsidRPr="00B83C6E">
        <w:t>The COCs for soil and groundwater at the former WWTP identified through the Basin Investigation Report (November 24, 2000) were as follows:</w:t>
      </w:r>
    </w:p>
    <w:tbl>
      <w:tblPr>
        <w:tblStyle w:val="OBrienGereGREEN"/>
        <w:tblW w:w="0" w:type="auto"/>
        <w:jc w:val="center"/>
        <w:tblLook w:val="04A0"/>
      </w:tblPr>
      <w:tblGrid>
        <w:gridCol w:w="3420"/>
        <w:gridCol w:w="3150"/>
      </w:tblGrid>
      <w:tr w:rsidR="001B1A11" w:rsidTr="00A02AC5">
        <w:trPr>
          <w:cnfStyle w:val="100000000000"/>
          <w:jc w:val="center"/>
        </w:trPr>
        <w:tc>
          <w:tcPr>
            <w:cnfStyle w:val="001000000100"/>
            <w:tcW w:w="3420" w:type="dxa"/>
          </w:tcPr>
          <w:p w:rsidR="001B1A11" w:rsidRPr="002745EE" w:rsidRDefault="001B1A11" w:rsidP="0093514E">
            <w:pPr>
              <w:rPr>
                <w:b w:val="0"/>
                <w:bCs w:val="0"/>
              </w:rPr>
            </w:pPr>
            <w:r w:rsidRPr="002745EE">
              <w:t>Soil</w:t>
            </w:r>
          </w:p>
        </w:tc>
        <w:tc>
          <w:tcPr>
            <w:tcW w:w="3150" w:type="dxa"/>
          </w:tcPr>
          <w:p w:rsidR="001B1A11" w:rsidRPr="002745EE" w:rsidRDefault="001B1A11" w:rsidP="0093514E">
            <w:pPr>
              <w:cnfStyle w:val="100000000000"/>
              <w:rPr>
                <w:b w:val="0"/>
                <w:bCs w:val="0"/>
              </w:rPr>
            </w:pPr>
            <w:r w:rsidRPr="002745EE">
              <w:t>Groundwater</w:t>
            </w:r>
          </w:p>
        </w:tc>
      </w:tr>
      <w:tr w:rsidR="001B1A11" w:rsidTr="00A02AC5">
        <w:trPr>
          <w:cnfStyle w:val="000000100000"/>
          <w:jc w:val="center"/>
        </w:trPr>
        <w:tc>
          <w:tcPr>
            <w:cnfStyle w:val="001000000000"/>
            <w:tcW w:w="3420" w:type="dxa"/>
          </w:tcPr>
          <w:p w:rsidR="001B1A11" w:rsidRPr="002745EE" w:rsidRDefault="001B1A11" w:rsidP="0093514E">
            <w:pPr>
              <w:rPr>
                <w:b w:val="0"/>
                <w:bCs w:val="0"/>
              </w:rPr>
            </w:pPr>
            <w:r w:rsidRPr="002745EE">
              <w:t>Benzene</w:t>
            </w:r>
          </w:p>
        </w:tc>
        <w:tc>
          <w:tcPr>
            <w:tcW w:w="3150" w:type="dxa"/>
          </w:tcPr>
          <w:p w:rsidR="001B1A11" w:rsidRPr="00F1318F" w:rsidRDefault="001B1A11" w:rsidP="0093514E">
            <w:pPr>
              <w:cnfStyle w:val="000000100000"/>
            </w:pPr>
            <w:r w:rsidRPr="00F1318F">
              <w:t>Lead (dissolved)</w:t>
            </w:r>
          </w:p>
        </w:tc>
      </w:tr>
      <w:tr w:rsidR="001B1A11" w:rsidTr="00A02AC5">
        <w:trPr>
          <w:cnfStyle w:val="000000010000"/>
          <w:jc w:val="center"/>
        </w:trPr>
        <w:tc>
          <w:tcPr>
            <w:cnfStyle w:val="001000000000"/>
            <w:tcW w:w="3420" w:type="dxa"/>
          </w:tcPr>
          <w:p w:rsidR="001B1A11" w:rsidRPr="002745EE" w:rsidRDefault="001B1A11" w:rsidP="0093514E">
            <w:pPr>
              <w:rPr>
                <w:b w:val="0"/>
                <w:bCs w:val="0"/>
              </w:rPr>
            </w:pPr>
            <w:r w:rsidRPr="002745EE">
              <w:t>Cyanide</w:t>
            </w:r>
          </w:p>
        </w:tc>
        <w:tc>
          <w:tcPr>
            <w:tcW w:w="3150" w:type="dxa"/>
          </w:tcPr>
          <w:p w:rsidR="001B1A11" w:rsidRPr="00F1318F" w:rsidRDefault="001B1A11" w:rsidP="0093514E">
            <w:pPr>
              <w:cnfStyle w:val="000000010000"/>
            </w:pPr>
          </w:p>
        </w:tc>
      </w:tr>
      <w:tr w:rsidR="001B1A11" w:rsidTr="00A02AC5">
        <w:trPr>
          <w:cnfStyle w:val="000000100000"/>
          <w:jc w:val="center"/>
        </w:trPr>
        <w:tc>
          <w:tcPr>
            <w:cnfStyle w:val="001000000000"/>
            <w:tcW w:w="3420" w:type="dxa"/>
          </w:tcPr>
          <w:p w:rsidR="001B1A11" w:rsidRPr="002745EE" w:rsidRDefault="001B1A11" w:rsidP="0093514E">
            <w:pPr>
              <w:rPr>
                <w:b w:val="0"/>
                <w:bCs w:val="0"/>
              </w:rPr>
            </w:pPr>
            <w:r w:rsidRPr="002745EE">
              <w:t>Nickel</w:t>
            </w:r>
          </w:p>
        </w:tc>
        <w:tc>
          <w:tcPr>
            <w:tcW w:w="3150" w:type="dxa"/>
          </w:tcPr>
          <w:p w:rsidR="001B1A11" w:rsidRPr="00F1318F" w:rsidRDefault="001B1A11" w:rsidP="0093514E">
            <w:pPr>
              <w:cnfStyle w:val="000000100000"/>
            </w:pPr>
          </w:p>
        </w:tc>
      </w:tr>
      <w:tr w:rsidR="001B1A11" w:rsidTr="00A02AC5">
        <w:trPr>
          <w:cnfStyle w:val="000000010000"/>
          <w:jc w:val="center"/>
        </w:trPr>
        <w:tc>
          <w:tcPr>
            <w:cnfStyle w:val="001000000000"/>
            <w:tcW w:w="3420" w:type="dxa"/>
          </w:tcPr>
          <w:p w:rsidR="001B1A11" w:rsidRPr="002745EE" w:rsidRDefault="001B1A11" w:rsidP="0093514E">
            <w:pPr>
              <w:rPr>
                <w:b w:val="0"/>
                <w:bCs w:val="0"/>
              </w:rPr>
            </w:pPr>
            <w:r w:rsidRPr="002745EE">
              <w:t>1,2,4- trimethylbenzene</w:t>
            </w:r>
          </w:p>
        </w:tc>
        <w:tc>
          <w:tcPr>
            <w:tcW w:w="3150" w:type="dxa"/>
          </w:tcPr>
          <w:p w:rsidR="001B1A11" w:rsidRPr="002745EE" w:rsidRDefault="001B1A11" w:rsidP="0093514E">
            <w:pPr>
              <w:cnfStyle w:val="000000010000"/>
            </w:pPr>
          </w:p>
        </w:tc>
      </w:tr>
      <w:tr w:rsidR="001B1A11" w:rsidTr="00A02AC5">
        <w:trPr>
          <w:cnfStyle w:val="000000100000"/>
          <w:jc w:val="center"/>
        </w:trPr>
        <w:tc>
          <w:tcPr>
            <w:cnfStyle w:val="001000000000"/>
            <w:tcW w:w="3420" w:type="dxa"/>
          </w:tcPr>
          <w:p w:rsidR="001B1A11" w:rsidRPr="002745EE" w:rsidRDefault="001B1A11" w:rsidP="0093514E">
            <w:pPr>
              <w:rPr>
                <w:b w:val="0"/>
                <w:bCs w:val="0"/>
              </w:rPr>
            </w:pPr>
            <w:proofErr w:type="spellStart"/>
            <w:r w:rsidRPr="002745EE">
              <w:t>Trichloroethene</w:t>
            </w:r>
            <w:proofErr w:type="spellEnd"/>
          </w:p>
        </w:tc>
        <w:tc>
          <w:tcPr>
            <w:tcW w:w="3150" w:type="dxa"/>
          </w:tcPr>
          <w:p w:rsidR="001B1A11" w:rsidRPr="002745EE" w:rsidRDefault="001B1A11" w:rsidP="0093514E">
            <w:pPr>
              <w:cnfStyle w:val="000000100000"/>
            </w:pPr>
          </w:p>
        </w:tc>
      </w:tr>
    </w:tbl>
    <w:p w:rsidR="001B1A11" w:rsidRPr="00B83C6E" w:rsidRDefault="001B1A11" w:rsidP="0093514E"/>
    <w:p w:rsidR="001B1A11" w:rsidRPr="00B83C6E" w:rsidRDefault="001B1A11" w:rsidP="0093514E">
      <w:r w:rsidRPr="00B83C6E">
        <w:t xml:space="preserve">A summary of the Basin Investigation Report </w:t>
      </w:r>
      <w:r w:rsidR="00D93BFF">
        <w:t xml:space="preserve">results </w:t>
      </w:r>
      <w:r w:rsidRPr="00B83C6E">
        <w:t>follow:</w:t>
      </w:r>
    </w:p>
    <w:p w:rsidR="001B1A11" w:rsidRPr="004C7216" w:rsidRDefault="001B1A11" w:rsidP="0093514E">
      <w:pPr>
        <w:pStyle w:val="Heading4"/>
      </w:pPr>
      <w:bookmarkStart w:id="36" w:name="_Toc352766932"/>
      <w:r w:rsidRPr="004C7216">
        <w:t>Soil</w:t>
      </w:r>
      <w:bookmarkEnd w:id="36"/>
    </w:p>
    <w:p w:rsidR="001B1A11" w:rsidRPr="00B83C6E" w:rsidRDefault="001B1A11" w:rsidP="0093514E">
      <w:r w:rsidRPr="00B83C6E">
        <w:t xml:space="preserve">Subsurface soil sample analytical results from the initial Basin Investigation Report indicated </w:t>
      </w:r>
      <w:r>
        <w:t>semi-volatile organic compounds (</w:t>
      </w:r>
      <w:r w:rsidRPr="00B83C6E">
        <w:t>SVOCs</w:t>
      </w:r>
      <w:r>
        <w:t>)</w:t>
      </w:r>
      <w:r w:rsidRPr="00B83C6E">
        <w:t xml:space="preserve"> below the MDEQ Part 201 Generic Residential and Non-Residential Drinking Water Protection </w:t>
      </w:r>
      <w:r w:rsidR="003E08E5">
        <w:t>C</w:t>
      </w:r>
      <w:r w:rsidRPr="00B83C6E">
        <w:t xml:space="preserve">riteria. The analytical results for the subsurface soil samples indicate concentrations of benzene, </w:t>
      </w:r>
      <w:proofErr w:type="spellStart"/>
      <w:r w:rsidRPr="00B83C6E">
        <w:t>trichloroethene</w:t>
      </w:r>
      <w:proofErr w:type="spellEnd"/>
      <w:r w:rsidRPr="00B83C6E">
        <w:t>, 1</w:t>
      </w:r>
      <w:proofErr w:type="gramStart"/>
      <w:r w:rsidRPr="00B83C6E">
        <w:t>,2,4</w:t>
      </w:r>
      <w:proofErr w:type="gramEnd"/>
      <w:r w:rsidRPr="00B83C6E">
        <w:t xml:space="preserve">-trimethylbenzene, nickel and cyanide above MDEQ Part 201 Generic Residential and Non-Residential Drinking Water Protection </w:t>
      </w:r>
      <w:r w:rsidR="003E08E5">
        <w:t>C</w:t>
      </w:r>
      <w:r w:rsidRPr="00B83C6E">
        <w:t xml:space="preserve">riteria. </w:t>
      </w:r>
    </w:p>
    <w:p w:rsidR="001B1A11" w:rsidRPr="00B83C6E" w:rsidRDefault="001B1A11" w:rsidP="0093514E">
      <w:r w:rsidRPr="00B83C6E">
        <w:t xml:space="preserve">Benzene was detected at a concentration of 200 </w:t>
      </w:r>
      <w:r>
        <w:t>parts per billion (</w:t>
      </w:r>
      <w:r w:rsidRPr="00B83C6E">
        <w:t>ppb</w:t>
      </w:r>
      <w:r>
        <w:t>)</w:t>
      </w:r>
      <w:r w:rsidRPr="00B83C6E">
        <w:t xml:space="preserve"> in the soil sample from GB-18, located in the central </w:t>
      </w:r>
      <w:proofErr w:type="spellStart"/>
      <w:r w:rsidRPr="00B83C6E">
        <w:t>deionized</w:t>
      </w:r>
      <w:proofErr w:type="spellEnd"/>
      <w:r w:rsidRPr="00B83C6E">
        <w:t xml:space="preserve"> water basin. </w:t>
      </w:r>
      <w:proofErr w:type="spellStart"/>
      <w:r w:rsidRPr="00B83C6E">
        <w:t>Trichloroethene</w:t>
      </w:r>
      <w:proofErr w:type="spellEnd"/>
      <w:r w:rsidRPr="00B83C6E">
        <w:t xml:space="preserve"> was detected in two soil sample locations: GB-44 (west basement basin) and GB-47 (south of west basement basin), at concentrations of 570 ppb and 770 ppb respectively. Also, 1</w:t>
      </w:r>
      <w:proofErr w:type="gramStart"/>
      <w:r w:rsidRPr="00B83C6E">
        <w:t>,2,4</w:t>
      </w:r>
      <w:proofErr w:type="gramEnd"/>
      <w:r w:rsidRPr="00B83C6E">
        <w:t>-trimethylbenzene was detected in two soil sample locations: GB-20 (east cyanide basin) at 3,120 ppb and GB-21 (west cyanide basin) at 2100 ppb.</w:t>
      </w:r>
    </w:p>
    <w:p w:rsidR="001B1A11" w:rsidRPr="00B83C6E" w:rsidRDefault="001B1A11" w:rsidP="0093514E">
      <w:proofErr w:type="spellStart"/>
      <w:r w:rsidRPr="00B83C6E">
        <w:t>Methylene</w:t>
      </w:r>
      <w:proofErr w:type="spellEnd"/>
      <w:r w:rsidRPr="00B83C6E">
        <w:t xml:space="preserve"> chloride was detected in samples GB-42 through GB-47 above the MDEQ Generic Residential and Non-Residential Dri</w:t>
      </w:r>
      <w:r>
        <w:t>nking Water Protection criteria;</w:t>
      </w:r>
      <w:r w:rsidRPr="00B83C6E">
        <w:t xml:space="preserve"> however, the results of these samples indicated </w:t>
      </w:r>
      <w:proofErr w:type="spellStart"/>
      <w:r w:rsidRPr="00B83C6E">
        <w:t>methylene</w:t>
      </w:r>
      <w:proofErr w:type="spellEnd"/>
      <w:r w:rsidRPr="00B83C6E">
        <w:t xml:space="preserve"> chloride was detected in the laboratory blanks and should be considered blank contamination. Also, the vinyl chloride detection limit achieved by the laboratory is above the MDEQ Part 201 Generic Residential and Non-Residential Dri</w:t>
      </w:r>
      <w:r>
        <w:t>nking Water Protection criteria;</w:t>
      </w:r>
      <w:r w:rsidRPr="00B83C6E">
        <w:t xml:space="preserve"> however, these detections are half of the Target Detection Limit (TDL) for method 5035/8260 (methanol preservation) listed in the</w:t>
      </w:r>
      <w:r>
        <w:t xml:space="preserve"> Environmental </w:t>
      </w:r>
      <w:r w:rsidR="007C7363">
        <w:t>R</w:t>
      </w:r>
      <w:r>
        <w:t>esponse Division (</w:t>
      </w:r>
      <w:r w:rsidRPr="00B83C6E">
        <w:t>ERD</w:t>
      </w:r>
      <w:r>
        <w:t>)</w:t>
      </w:r>
      <w:r w:rsidRPr="00B83C6E">
        <w:t xml:space="preserve"> former Operational Memorandum #6, revision 5, dated November 16, 1998, the guidance at the time of investigation.</w:t>
      </w:r>
    </w:p>
    <w:p w:rsidR="001B1A11" w:rsidRPr="00B83C6E" w:rsidRDefault="001B1A11" w:rsidP="0093514E">
      <w:r w:rsidRPr="00B83C6E">
        <w:t>Nickel and cyanide concentrations were detected above the MDEQ Part 201 Generic Residential and Non-Re</w:t>
      </w:r>
      <w:r w:rsidR="002D3134">
        <w:t>s</w:t>
      </w:r>
      <w:r w:rsidRPr="00B83C6E">
        <w:t>idential Drinking Water Protection criteria in the following samples:</w:t>
      </w:r>
    </w:p>
    <w:p w:rsidR="001B1A11" w:rsidRPr="00B83C6E" w:rsidRDefault="001B1A11" w:rsidP="0093514E">
      <w:pPr>
        <w:pStyle w:val="Bullet-1"/>
      </w:pPr>
      <w:r w:rsidRPr="00B83C6E">
        <w:t>Nickel - GB-39 (WWTP basement floor north)</w:t>
      </w:r>
    </w:p>
    <w:p w:rsidR="001B1A11" w:rsidRPr="00B83C6E" w:rsidRDefault="001B1A11" w:rsidP="0093514E">
      <w:pPr>
        <w:pStyle w:val="Bullet-1"/>
      </w:pPr>
      <w:r w:rsidRPr="00B83C6E">
        <w:t>Cyanide - GB-25 (west alkali basin)</w:t>
      </w:r>
    </w:p>
    <w:p w:rsidR="001B1A11" w:rsidRPr="00B83C6E" w:rsidRDefault="001B1A11" w:rsidP="0093514E">
      <w:r w:rsidRPr="00B83C6E">
        <w:t xml:space="preserve">Tables summarizing the soil analytical results from the Basin Investigation Report are included in Appendix A and a figure depicting historical sample locations and MDEQ Part 201 criteria </w:t>
      </w:r>
      <w:proofErr w:type="spellStart"/>
      <w:r w:rsidRPr="00B83C6E">
        <w:t>exceedances</w:t>
      </w:r>
      <w:proofErr w:type="spellEnd"/>
      <w:r w:rsidRPr="00B83C6E">
        <w:t xml:space="preserve"> is included </w:t>
      </w:r>
      <w:r w:rsidR="009A69D4">
        <w:t xml:space="preserve">in Appendix A </w:t>
      </w:r>
      <w:r w:rsidRPr="00B83C6E">
        <w:t xml:space="preserve">as Figure </w:t>
      </w:r>
      <w:r w:rsidR="009A69D4">
        <w:t>A-1</w:t>
      </w:r>
      <w:r w:rsidRPr="00B83C6E">
        <w:t>.</w:t>
      </w:r>
    </w:p>
    <w:p w:rsidR="001B1A11" w:rsidRPr="004C7216" w:rsidRDefault="001B1A11" w:rsidP="0093514E">
      <w:pPr>
        <w:pStyle w:val="Heading4"/>
      </w:pPr>
      <w:bookmarkStart w:id="37" w:name="_Toc352766933"/>
      <w:r w:rsidRPr="004C7216">
        <w:t>Groundwater</w:t>
      </w:r>
      <w:bookmarkEnd w:id="37"/>
    </w:p>
    <w:p w:rsidR="001B1A11" w:rsidRPr="00B83C6E" w:rsidRDefault="001B1A11" w:rsidP="0093514E">
      <w:r w:rsidRPr="00B83C6E">
        <w:t xml:space="preserve">Groundwater samples collected for the Basin Investigation Report were analyzed for VOCs, SVOCs, dissolved metals (cadmium, chromium, copper, lead, nickel, and zinc), and cyanide during the initial basin investigation. The results of the VOCs, SVOCs and cyanide analyses were below detection limits. </w:t>
      </w:r>
    </w:p>
    <w:p w:rsidR="001B1A11" w:rsidRPr="00B83C6E" w:rsidRDefault="001B1A11" w:rsidP="0093514E">
      <w:r w:rsidRPr="00B83C6E">
        <w:t xml:space="preserve">The results of the dissolved metals analyses were below Part 201 Generic Residential Drinking Water criteria, except for dissolved lead which was present at concentrations of 8 ppb in OBG MW-1 (duplicate value of 9 ppb), and in OBG MW-2 at 32 ppb. </w:t>
      </w:r>
    </w:p>
    <w:p w:rsidR="001B1A11" w:rsidRPr="00B83C6E" w:rsidRDefault="001B1A11" w:rsidP="0093514E">
      <w:r w:rsidRPr="00B83C6E">
        <w:t xml:space="preserve">Tables summarizing the groundwater analytical results from the Basin Investigation Report are included in Appendix A and a figure showing the locations of the monitoring wells and MDEQ Part 201 criteria </w:t>
      </w:r>
      <w:proofErr w:type="spellStart"/>
      <w:r w:rsidRPr="00B83C6E">
        <w:t>exceedances</w:t>
      </w:r>
      <w:proofErr w:type="spellEnd"/>
      <w:r w:rsidRPr="00B83C6E">
        <w:t xml:space="preserve"> is included as Figure </w:t>
      </w:r>
      <w:r w:rsidR="00FC3A8B">
        <w:t>A-2 in Appendix A</w:t>
      </w:r>
      <w:r w:rsidRPr="00B83C6E">
        <w:t>.</w:t>
      </w:r>
    </w:p>
    <w:p w:rsidR="001B1A11" w:rsidRPr="00B83C6E" w:rsidRDefault="001B1A11" w:rsidP="0093514E">
      <w:r w:rsidRPr="00B83C6E">
        <w:t xml:space="preserve">Results of the basin investigation were reported to MDEQ in the Former </w:t>
      </w:r>
      <w:r>
        <w:t xml:space="preserve">WWTP </w:t>
      </w:r>
      <w:r w:rsidRPr="00B83C6E">
        <w:t xml:space="preserve">Basin Investigation Report dated November 2000. However, MDEQ did not extend a ‘no further action’ determination to the former WWTP on the basis of the Basin Investigation report and previous closure certification submittals. MDEQ indicated that the ‘no further action’ did not meet the requirements specified in Parts 111 and 201, specifically, the dissolved lead in groundwater was not delineated and that the potential impact of COCs in soil were not </w:t>
      </w:r>
      <w:r w:rsidR="0057637B">
        <w:t xml:space="preserve">completely </w:t>
      </w:r>
      <w:r w:rsidRPr="00B83C6E">
        <w:t>addressed</w:t>
      </w:r>
      <w:r w:rsidR="0057637B">
        <w:t>.</w:t>
      </w:r>
      <w:r w:rsidRPr="00B83C6E">
        <w:t xml:space="preserve"> Therefore, a work p</w:t>
      </w:r>
      <w:r w:rsidR="009E00EE">
        <w:t>lan was developed (as noted in S</w:t>
      </w:r>
      <w:r w:rsidRPr="00B83C6E">
        <w:t xml:space="preserve">ection 1.2) and implemented to address </w:t>
      </w:r>
      <w:r w:rsidR="0057637B">
        <w:t>MDEQ comments</w:t>
      </w:r>
      <w:r w:rsidRPr="00B83C6E">
        <w:t>. The results of that investigation are included in the 2008 Addendum Report (</w:t>
      </w:r>
      <w:r w:rsidR="009E00EE">
        <w:t>S</w:t>
      </w:r>
      <w:r w:rsidRPr="00B83C6E">
        <w:t>ection 1.</w:t>
      </w:r>
      <w:r w:rsidR="00404AA9">
        <w:t>2</w:t>
      </w:r>
      <w:r w:rsidRPr="00B83C6E">
        <w:t xml:space="preserve">.2). </w:t>
      </w:r>
    </w:p>
    <w:p w:rsidR="001B1A11" w:rsidRPr="00B83C6E" w:rsidRDefault="001B1A11" w:rsidP="0093514E">
      <w:pPr>
        <w:pStyle w:val="Heading3"/>
      </w:pPr>
      <w:bookmarkStart w:id="38" w:name="_Toc352766934"/>
      <w:r>
        <w:t>1.</w:t>
      </w:r>
      <w:r w:rsidR="0080525A">
        <w:t>2</w:t>
      </w:r>
      <w:r>
        <w:t xml:space="preserve">.2 </w:t>
      </w:r>
      <w:r w:rsidRPr="00B83C6E">
        <w:t>2008 Addendum Report</w:t>
      </w:r>
      <w:bookmarkEnd w:id="38"/>
    </w:p>
    <w:p w:rsidR="001B1A11" w:rsidRPr="00B83C6E" w:rsidRDefault="001B1A11" w:rsidP="0093514E">
      <w:r w:rsidRPr="00B83C6E">
        <w:t xml:space="preserve">This section describes results of the groundwater sampling and analysis conducted in the vicinity of the former WWTP. Sampling and analysis was conducted in accordance with procedures outlined in the MDEQ-approved Post-Closure Care Plan (PC Plan) (O'Brien &amp; Gere, 2006), MDEQ-approved December 2006 Work Plan for the former WWTP and February 2006 QAPP developed for the REALM Coldwater Road Landfill facility. The objective of the investigation was to assess the extent of COCs impact to groundwater and assess the potential for previously detected </w:t>
      </w:r>
      <w:r w:rsidR="000B5E32">
        <w:t xml:space="preserve">constituents in </w:t>
      </w:r>
      <w:r w:rsidRPr="00B83C6E">
        <w:t>soil to leach to groundwater.</w:t>
      </w:r>
    </w:p>
    <w:p w:rsidR="001B1A11" w:rsidRPr="00B83C6E" w:rsidRDefault="001B1A11" w:rsidP="0093514E">
      <w:r w:rsidRPr="00B83C6E">
        <w:t xml:space="preserve">O'Brien &amp; Gere completed investigation of the former WWTP in a phased approach following MDEQ approval of the Work Plan. Initially the installation of monitoring wells was performed in May 2007 and subsequent groundwater monitoring was performed quarterly for one year (June 19, 2007 through March 18, 2008). </w:t>
      </w:r>
    </w:p>
    <w:p w:rsidR="001B1A11" w:rsidRPr="00B83C6E" w:rsidRDefault="001B1A11" w:rsidP="0093514E">
      <w:r w:rsidRPr="00B83C6E">
        <w:t xml:space="preserve">Groundwater samples were collected quarterly for four quarters using low-flow sampling methods per Attachment 5 of the MDEQ Remediation and Redevelopment Division (RRD) Operational Memorandum No. </w:t>
      </w:r>
      <w:smartTag w:uri="urn:schemas-microsoft-com:office:smarttags" w:element="metricconverter">
        <w:smartTagPr>
          <w:attr w:name="ProductID" w:val="2, in"/>
        </w:smartTagPr>
        <w:r w:rsidRPr="00B83C6E">
          <w:t>2, in</w:t>
        </w:r>
      </w:smartTag>
      <w:r w:rsidRPr="00B83C6E">
        <w:t xml:space="preserve"> accordance with the MDEQ-approved PC Plan and December 2006 Work Plan. In accordance with the December 2006 Work Plan, notifications to MDEQ were made 2 weeks prior to each groundwater sampling event via the Monthly Progress Reports submitted under the Post-Closure activities at the Site. The following discussions summarize the results of the quarterly groundwater monitoring program. </w:t>
      </w:r>
    </w:p>
    <w:p w:rsidR="001B1A11" w:rsidRPr="004C7216" w:rsidRDefault="001B1A11" w:rsidP="0093514E">
      <w:pPr>
        <w:pStyle w:val="Heading4"/>
      </w:pPr>
      <w:bookmarkStart w:id="39" w:name="_Toc352766935"/>
      <w:r w:rsidRPr="004C7216">
        <w:t>Summary of Subsurface Conditions</w:t>
      </w:r>
      <w:bookmarkEnd w:id="39"/>
    </w:p>
    <w:p w:rsidR="001B1A11" w:rsidRPr="00B83C6E" w:rsidRDefault="001B1A11" w:rsidP="0093514E">
      <w:r w:rsidRPr="00B83C6E">
        <w:t xml:space="preserve">This section describes the subsurface conditions observed based on the installation of the monitoring wells (shown on Figure </w:t>
      </w:r>
      <w:r w:rsidR="001B41A8">
        <w:t>3</w:t>
      </w:r>
      <w:r w:rsidRPr="00B83C6E">
        <w:t>) and previously installed hydraulic probe borings at the former WWTP.</w:t>
      </w:r>
    </w:p>
    <w:p w:rsidR="001B1A11" w:rsidRDefault="001B1A11" w:rsidP="0093514E">
      <w:r w:rsidRPr="00B83C6E">
        <w:t>Subsurface soil conditions at the former WWTP consist of a clay unit from the original ground</w:t>
      </w:r>
      <w:r w:rsidR="0057637B">
        <w:t xml:space="preserve"> </w:t>
      </w:r>
      <w:r w:rsidRPr="00B83C6E">
        <w:t xml:space="preserve">surface to a depth of </w:t>
      </w:r>
      <w:smartTag w:uri="urn:schemas-microsoft-com:office:smarttags" w:element="metricconverter">
        <w:smartTagPr>
          <w:attr w:name="ProductID" w:val="30 ft"/>
        </w:smartTagPr>
        <w:r w:rsidRPr="00B83C6E">
          <w:t>30 ft</w:t>
        </w:r>
      </w:smartTag>
      <w:r w:rsidRPr="00B83C6E">
        <w:t xml:space="preserve"> below grade with sand lenses observed ranging in thickness from non-existent (OBG MW-8) to </w:t>
      </w:r>
      <w:smartTag w:uri="urn:schemas-microsoft-com:office:smarttags" w:element="metricconverter">
        <w:smartTagPr>
          <w:attr w:name="ProductID" w:val="5 ft"/>
        </w:smartTagPr>
        <w:r w:rsidRPr="00B83C6E">
          <w:t>5 ft</w:t>
        </w:r>
      </w:smartTag>
      <w:r w:rsidRPr="00B83C6E">
        <w:t xml:space="preserve"> (OBG MW-5). The elevations shown on Table </w:t>
      </w:r>
      <w:r>
        <w:t>1.1</w:t>
      </w:r>
      <w:r w:rsidRPr="00B83C6E">
        <w:t xml:space="preserve"> below indicate </w:t>
      </w:r>
      <w:r>
        <w:t xml:space="preserve">that </w:t>
      </w:r>
      <w:r w:rsidRPr="00B83C6E">
        <w:t xml:space="preserve">the sand lenses vary in elevation indicating a discontinuous perched zone condition at the former WWTP. </w:t>
      </w:r>
    </w:p>
    <w:p w:rsidR="001B1A11" w:rsidRDefault="001B1A11" w:rsidP="0093514E">
      <w:r w:rsidRPr="00B83C6E">
        <w:rPr>
          <w:b/>
        </w:rPr>
        <w:t>Table 1.1</w:t>
      </w:r>
      <w:r w:rsidRPr="00B83C6E">
        <w:t xml:space="preserve"> Sand Lens Elevations</w:t>
      </w:r>
    </w:p>
    <w:tbl>
      <w:tblPr>
        <w:tblW w:w="0" w:type="auto"/>
        <w:tblInd w:w="29" w:type="dxa"/>
        <w:tblBorders>
          <w:bottom w:val="single" w:sz="24" w:space="0" w:color="7F7F7F"/>
        </w:tblBorders>
        <w:tblLook w:val="04A0"/>
      </w:tblPr>
      <w:tblGrid>
        <w:gridCol w:w="3427"/>
        <w:gridCol w:w="3427"/>
        <w:gridCol w:w="3427"/>
      </w:tblGrid>
      <w:tr w:rsidR="001B1A11" w:rsidTr="001F31E7">
        <w:trPr>
          <w:tblHeader/>
        </w:trPr>
        <w:tc>
          <w:tcPr>
            <w:tcW w:w="3427" w:type="dxa"/>
            <w:tcBorders>
              <w:top w:val="nil"/>
              <w:left w:val="nil"/>
              <w:bottom w:val="single" w:sz="24" w:space="0" w:color="84AA33"/>
              <w:right w:val="nil"/>
              <w:tl2br w:val="nil"/>
              <w:tr2bl w:val="nil"/>
            </w:tcBorders>
            <w:shd w:val="clear" w:color="auto" w:fill="595959"/>
            <w:tcMar>
              <w:left w:w="115" w:type="dxa"/>
              <w:right w:w="115" w:type="dxa"/>
            </w:tcMar>
            <w:vAlign w:val="center"/>
          </w:tcPr>
          <w:p w:rsidR="001B1A11" w:rsidRPr="00E83B86" w:rsidRDefault="001B1A11" w:rsidP="00E83B86">
            <w:pPr>
              <w:spacing w:before="240"/>
              <w:rPr>
                <w:color w:val="FFFFFF" w:themeColor="background1"/>
              </w:rPr>
            </w:pPr>
            <w:r w:rsidRPr="00E83B86">
              <w:rPr>
                <w:color w:val="FFFFFF" w:themeColor="background1"/>
              </w:rPr>
              <w:t>Well Location</w:t>
            </w:r>
          </w:p>
        </w:tc>
        <w:tc>
          <w:tcPr>
            <w:tcW w:w="3427" w:type="dxa"/>
            <w:tcBorders>
              <w:bottom w:val="single" w:sz="24" w:space="0" w:color="84AA33"/>
            </w:tcBorders>
            <w:shd w:val="clear" w:color="auto" w:fill="595959"/>
            <w:tcMar>
              <w:left w:w="115" w:type="dxa"/>
              <w:right w:w="115" w:type="dxa"/>
            </w:tcMar>
            <w:vAlign w:val="center"/>
          </w:tcPr>
          <w:p w:rsidR="001B1A11" w:rsidRPr="00E83B86" w:rsidRDefault="001B1A11" w:rsidP="00E83B86">
            <w:pPr>
              <w:spacing w:before="240"/>
              <w:rPr>
                <w:color w:val="FFFFFF" w:themeColor="background1"/>
              </w:rPr>
            </w:pPr>
            <w:r w:rsidRPr="00E83B86">
              <w:rPr>
                <w:color w:val="FFFFFF" w:themeColor="background1"/>
              </w:rPr>
              <w:t>Surface Elevation (NAVD 88)</w:t>
            </w:r>
          </w:p>
        </w:tc>
        <w:tc>
          <w:tcPr>
            <w:tcW w:w="3427" w:type="dxa"/>
            <w:tcBorders>
              <w:bottom w:val="single" w:sz="24" w:space="0" w:color="84AA33"/>
            </w:tcBorders>
            <w:shd w:val="clear" w:color="auto" w:fill="595959"/>
            <w:tcMar>
              <w:left w:w="115" w:type="dxa"/>
              <w:right w:w="115" w:type="dxa"/>
            </w:tcMar>
            <w:vAlign w:val="center"/>
          </w:tcPr>
          <w:p w:rsidR="001B1A11" w:rsidRPr="00E83B86" w:rsidRDefault="001B1A11" w:rsidP="00E83B86">
            <w:pPr>
              <w:spacing w:before="240"/>
              <w:rPr>
                <w:color w:val="FFFFFF" w:themeColor="background1"/>
              </w:rPr>
            </w:pPr>
            <w:r w:rsidRPr="00E83B86">
              <w:rPr>
                <w:color w:val="FFFFFF" w:themeColor="background1"/>
              </w:rPr>
              <w:t xml:space="preserve">Observed Sand </w:t>
            </w:r>
            <w:proofErr w:type="spellStart"/>
            <w:r w:rsidRPr="00E83B86">
              <w:rPr>
                <w:color w:val="FFFFFF" w:themeColor="background1"/>
              </w:rPr>
              <w:t>Lense</w:t>
            </w:r>
            <w:proofErr w:type="spellEnd"/>
            <w:r w:rsidRPr="00E83B86">
              <w:rPr>
                <w:color w:val="FFFFFF" w:themeColor="background1"/>
              </w:rPr>
              <w:t xml:space="preserve"> Elevation</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E83B86">
            <w:pPr>
              <w:spacing w:before="240"/>
            </w:pPr>
            <w:r w:rsidRPr="002745EE">
              <w:t>OBG MW-1</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809.46’</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798.46-796.46'</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MW-2</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812.45’</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806.95-805.45' and 799.45-796.45'</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MW-3</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807.47’</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802.97-799.97'</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MW-4</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810.10’</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797.85-797.35'</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MW-5</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813.05’</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809.05-804.05'</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MW-6</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813.02’</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798.44-798.27'</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MW-7</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810.23’</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805.65-805.23' and 795.23-794.23'</w:t>
            </w:r>
          </w:p>
        </w:tc>
      </w:tr>
      <w:tr w:rsidR="001B1A11" w:rsidTr="001F31E7">
        <w:tc>
          <w:tcPr>
            <w:tcW w:w="3427" w:type="dxa"/>
            <w:tcBorders>
              <w:bottom w:val="single" w:sz="4" w:space="0" w:color="7F7F7F"/>
            </w:tcBorders>
            <w:shd w:val="clear" w:color="auto" w:fill="F2F2F2"/>
            <w:tcMar>
              <w:left w:w="115" w:type="dxa"/>
              <w:right w:w="115" w:type="dxa"/>
            </w:tcMar>
          </w:tcPr>
          <w:p w:rsidR="001B1A11" w:rsidRPr="002745EE" w:rsidRDefault="001B1A11" w:rsidP="0093514E">
            <w:r w:rsidRPr="002745EE">
              <w:t>OBG MW-8</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814.72’</w:t>
            </w:r>
          </w:p>
        </w:tc>
        <w:tc>
          <w:tcPr>
            <w:tcW w:w="3427" w:type="dxa"/>
            <w:tcBorders>
              <w:bottom w:val="single" w:sz="4" w:space="0" w:color="7F7F7F"/>
            </w:tcBorders>
            <w:shd w:val="clear" w:color="auto" w:fill="FFFFFF"/>
            <w:tcMar>
              <w:left w:w="115" w:type="dxa"/>
              <w:right w:w="115" w:type="dxa"/>
            </w:tcMar>
          </w:tcPr>
          <w:p w:rsidR="001B1A11" w:rsidRPr="002745EE" w:rsidRDefault="001B1A11" w:rsidP="0093514E">
            <w:r w:rsidRPr="002745EE">
              <w:t xml:space="preserve">no sand </w:t>
            </w:r>
            <w:proofErr w:type="spellStart"/>
            <w:r w:rsidRPr="002745EE">
              <w:t>lense</w:t>
            </w:r>
            <w:proofErr w:type="spellEnd"/>
            <w:r w:rsidRPr="002745EE">
              <w:t xml:space="preserve"> observed</w:t>
            </w:r>
          </w:p>
        </w:tc>
      </w:tr>
    </w:tbl>
    <w:p w:rsidR="001B1A11" w:rsidRPr="00B83C6E" w:rsidRDefault="001B1A11" w:rsidP="0093514E"/>
    <w:p w:rsidR="001B1A11" w:rsidRPr="00B83C6E" w:rsidRDefault="001B1A11" w:rsidP="0093514E">
      <w:r w:rsidRPr="00B83C6E">
        <w:t xml:space="preserve">Sand lenses were observed in seven of the eight borings (OBG MW-1 – OBG MW-7) completed as monitoring wells under this investigation at the former WWTP. These locations are separated by previously installed borings in which a sand lens of the same elevation was not observed indicating the sand lenses are discontinuous in the vicinity of the former WWTP. A geologic cross section depicting the discontinuous sand lenses in the perched zone at the former WWTP area is included as Figure </w:t>
      </w:r>
      <w:r w:rsidR="001B41A8">
        <w:t>4</w:t>
      </w:r>
      <w:r w:rsidRPr="00B83C6E">
        <w:t>.</w:t>
      </w:r>
    </w:p>
    <w:p w:rsidR="001B1A11" w:rsidRPr="00B83C6E" w:rsidRDefault="001B1A11" w:rsidP="0093514E">
      <w:r w:rsidRPr="00B83C6E">
        <w:t xml:space="preserve">Following demolition of the former </w:t>
      </w:r>
      <w:r w:rsidR="00484172">
        <w:t>WWTP</w:t>
      </w:r>
      <w:r w:rsidRPr="00B83C6E">
        <w:t>, approximately 3-</w:t>
      </w:r>
      <w:smartTag w:uri="urn:schemas-microsoft-com:office:smarttags" w:element="metricconverter">
        <w:smartTagPr>
          <w:attr w:name="ProductID" w:val="4 ft"/>
        </w:smartTagPr>
        <w:r w:rsidRPr="00B83C6E">
          <w:t>4 ft</w:t>
        </w:r>
      </w:smartTag>
      <w:r w:rsidRPr="00B83C6E">
        <w:t xml:space="preserve"> of sand fill</w:t>
      </w:r>
      <w:r w:rsidR="00484172">
        <w:t xml:space="preserve"> (offsite clean fill deemed inert by the supplier</w:t>
      </w:r>
      <w:r w:rsidR="001F40EB">
        <w:t xml:space="preserve"> in accordance with NREPA Act 4512, Part 201</w:t>
      </w:r>
      <w:r w:rsidR="00484172">
        <w:t>)</w:t>
      </w:r>
      <w:r w:rsidRPr="00B83C6E">
        <w:t xml:space="preserve"> was placed over the former WWTP building and basins. </w:t>
      </w:r>
    </w:p>
    <w:p w:rsidR="001B1A11" w:rsidRPr="004C7216" w:rsidRDefault="001B1A11" w:rsidP="0093514E">
      <w:pPr>
        <w:pStyle w:val="Heading4"/>
      </w:pPr>
      <w:bookmarkStart w:id="40" w:name="_Toc352766936"/>
      <w:r w:rsidRPr="004C7216">
        <w:t>First Quarter Groundwater Sampling Results</w:t>
      </w:r>
      <w:bookmarkEnd w:id="40"/>
    </w:p>
    <w:p w:rsidR="001B1A11" w:rsidRPr="00B83C6E" w:rsidRDefault="001B1A11" w:rsidP="0093514E">
      <w:r w:rsidRPr="00B83C6E">
        <w:t>Analytical results for the first quarter groundwater sampling event</w:t>
      </w:r>
      <w:r w:rsidR="0057637B">
        <w:t xml:space="preserve">, performed in </w:t>
      </w:r>
      <w:r w:rsidRPr="00B83C6E">
        <w:t>June 2007</w:t>
      </w:r>
      <w:r w:rsidR="0057637B">
        <w:t xml:space="preserve"> and reported in the 2008 Addendum Report,</w:t>
      </w:r>
      <w:r w:rsidRPr="00B83C6E">
        <w:t xml:space="preserve"> indicated no detections of VOCs above MDEQ Part 201 Generic Non-Residential Drinking Water criteria. Analytical results for the </w:t>
      </w:r>
      <w:proofErr w:type="spellStart"/>
      <w:r w:rsidRPr="00B83C6E">
        <w:t>inorganics</w:t>
      </w:r>
      <w:proofErr w:type="spellEnd"/>
      <w:r w:rsidRPr="00B83C6E">
        <w:t xml:space="preserve"> indicated a detection of total lead at OBG MW-5 of </w:t>
      </w:r>
      <w:r w:rsidR="0068181B">
        <w:t>0.140</w:t>
      </w:r>
      <w:r w:rsidRPr="00B83C6E">
        <w:t xml:space="preserve"> </w:t>
      </w:r>
      <w:r w:rsidR="0068181B">
        <w:t>m</w:t>
      </w:r>
      <w:r w:rsidRPr="00B83C6E">
        <w:t>g/l, which is above the MDEQ Part 201 Generic Non-Residential Drinking Water criterion (</w:t>
      </w:r>
      <w:r w:rsidR="0068181B">
        <w:t>.00</w:t>
      </w:r>
      <w:r w:rsidRPr="00B83C6E">
        <w:t>4</w:t>
      </w:r>
      <w:r>
        <w:t xml:space="preserve"> </w:t>
      </w:r>
      <w:r w:rsidR="0068181B">
        <w:t>m</w:t>
      </w:r>
      <w:r w:rsidRPr="00B83C6E">
        <w:t xml:space="preserve">g/l). </w:t>
      </w:r>
      <w:r w:rsidR="00C91CC9">
        <w:t>T</w:t>
      </w:r>
      <w:r w:rsidRPr="00B83C6E">
        <w:t xml:space="preserve">he analytical result for dissolved lead at this location was below the method detection limit (MDL). Also, </w:t>
      </w:r>
      <w:r w:rsidRPr="00B91F87">
        <w:t>at the OBG MW-5 location</w:t>
      </w:r>
      <w:r>
        <w:t>,</w:t>
      </w:r>
      <w:r w:rsidRPr="00B91F87">
        <w:rPr>
          <w:b/>
        </w:rPr>
        <w:t xml:space="preserve"> </w:t>
      </w:r>
      <w:r w:rsidRPr="00B83C6E">
        <w:t xml:space="preserve">there was a detection of cyanide of </w:t>
      </w:r>
      <w:r w:rsidR="0068181B">
        <w:t>0.</w:t>
      </w:r>
      <w:r w:rsidRPr="00B83C6E">
        <w:t xml:space="preserve">295 </w:t>
      </w:r>
      <w:r w:rsidR="0068181B">
        <w:t>m</w:t>
      </w:r>
      <w:r w:rsidRPr="00B83C6E">
        <w:t>g/l, which is above the MDEQ Part 201 Generic Non-Residential Drinking Water criterion (</w:t>
      </w:r>
      <w:r w:rsidR="0068181B">
        <w:t>0.</w:t>
      </w:r>
      <w:r w:rsidRPr="00B83C6E">
        <w:t>200</w:t>
      </w:r>
      <w:r>
        <w:t xml:space="preserve"> </w:t>
      </w:r>
      <w:r w:rsidR="0068181B">
        <w:t>m</w:t>
      </w:r>
      <w:r w:rsidRPr="00B83C6E">
        <w:t xml:space="preserve">g/l). A table summarizing the first quarter groundwater analytical results is included as Table 1 in Appendix B. </w:t>
      </w:r>
    </w:p>
    <w:p w:rsidR="001B1A11" w:rsidRPr="004C7216" w:rsidRDefault="001B1A11" w:rsidP="0093514E">
      <w:pPr>
        <w:pStyle w:val="Heading4"/>
      </w:pPr>
      <w:bookmarkStart w:id="41" w:name="_Toc352766937"/>
      <w:r w:rsidRPr="004C7216">
        <w:t>Second Quarter Groundwater Sampling Results</w:t>
      </w:r>
      <w:bookmarkEnd w:id="41"/>
    </w:p>
    <w:p w:rsidR="001B1A11" w:rsidRPr="00B83C6E" w:rsidRDefault="001B1A11" w:rsidP="0093514E">
      <w:r w:rsidRPr="00B83C6E">
        <w:t>Analytical results for the second quarter groundwater sampling event (September 2007) indicate</w:t>
      </w:r>
      <w:r w:rsidR="00101009">
        <w:t>d</w:t>
      </w:r>
      <w:r w:rsidRPr="00B83C6E">
        <w:t xml:space="preserve"> no concentrations of VOCs above the MDEQ Part 201 Generic Non-Residential Drinking Water Criteria, comparable to the first quarter sampling results. Analytical results for the </w:t>
      </w:r>
      <w:proofErr w:type="spellStart"/>
      <w:r w:rsidRPr="00B83C6E">
        <w:t>inorganics</w:t>
      </w:r>
      <w:proofErr w:type="spellEnd"/>
      <w:r w:rsidRPr="00B83C6E">
        <w:t xml:space="preserve"> indicate concentrations for total chromium, total nickel and total lead either below MDLs or MDEQ Part 201 Generic Non-Residential Drinking Water Criteria. No dissolved samples were collected for this sampling event in accordance with the Work Plan since groundwater turbidity did not stabilize above 10 NTU. Analytical results for total cyanide indicate no concentrations above MDEQ Part 201 Generic Non-Residential Drinking Water Criteria. </w:t>
      </w:r>
    </w:p>
    <w:p w:rsidR="001B1A11" w:rsidRPr="00B83C6E" w:rsidRDefault="001B1A11" w:rsidP="0093514E">
      <w:r w:rsidRPr="00B83C6E">
        <w:t>A table summarizing the 2008 Addendum Report second quarter groundwater analytical results is included as Table 3 in Appendix B.</w:t>
      </w:r>
    </w:p>
    <w:p w:rsidR="001B1A11" w:rsidRPr="00B83C6E" w:rsidRDefault="001B1A11" w:rsidP="0093514E">
      <w:r w:rsidRPr="00B83C6E">
        <w:t xml:space="preserve">During the second quarter sampling event, the MDEQ WHMD collected split groundwater samples (at locations OBG MW-5, OBG MW-7 and OBG MW-8) for laboratory analysis. In addition to the parameters approved under the December 2006 Work Plan, MDEQ also ran analysis for the following parameters (totals): antimony, arsenic, barium, beryllium, cadmium, cobalt, copper, manganese, molybdenum, mercury, selenium, silver, thallium, vanadium, zinc and iron. The results of the MDEQ analysis indicated concentrations of total arsenic, iron and manganese above the MDEQ Part 201 Generic Non-Residential Drinking Water </w:t>
      </w:r>
      <w:r w:rsidR="00B61E7C">
        <w:t>C</w:t>
      </w:r>
      <w:r w:rsidRPr="00B83C6E">
        <w:t xml:space="preserve">riteria. Therefore, a Work Plan Amendment was prepared and submitted to MDEQ on January 8, 2008 which included adding these parameters to the analytical list for the remaining third and fourth quarter groundwater sampling events. </w:t>
      </w:r>
    </w:p>
    <w:p w:rsidR="001B1A11" w:rsidRPr="00B83C6E" w:rsidRDefault="001B1A11" w:rsidP="0093514E">
      <w:pPr>
        <w:pStyle w:val="Heading4"/>
      </w:pPr>
      <w:bookmarkStart w:id="42" w:name="_Toc352766938"/>
      <w:r w:rsidRPr="00B83C6E">
        <w:t>Third Quarter Groundwater Sampling Results</w:t>
      </w:r>
      <w:bookmarkEnd w:id="42"/>
    </w:p>
    <w:p w:rsidR="001B1A11" w:rsidRPr="00B83C6E" w:rsidRDefault="001B1A11" w:rsidP="0093514E">
      <w:r w:rsidRPr="00B83C6E">
        <w:t xml:space="preserve">Based on the results of the MDEQ split groundwater sampling during the second quarterly sampling event, additional parameters (arsenic, iron and manganese) were added to the third quarter sampling parameter list in accordance with the MDEQ-approved January 8, 2008 Amendment to the Work Plan. </w:t>
      </w:r>
    </w:p>
    <w:p w:rsidR="001B1A11" w:rsidRPr="00B83C6E" w:rsidRDefault="001B1A11" w:rsidP="0093514E">
      <w:r w:rsidRPr="00B83C6E">
        <w:t xml:space="preserve">Analytical results for the third quarter groundwater sampling event (December 2007) indicate no concentrations of VOCs above the MDEQ Part 201 Generic Non-Residential Drinking Water Criteria, comparable to the first and second quarterly sampling results. Analytical results for the </w:t>
      </w:r>
      <w:proofErr w:type="spellStart"/>
      <w:r w:rsidRPr="00B83C6E">
        <w:t>inorganics</w:t>
      </w:r>
      <w:proofErr w:type="spellEnd"/>
      <w:r w:rsidRPr="00B83C6E">
        <w:t xml:space="preserve"> indicate concentrations for total arsenic, total chromium, total nickel and total lead either below MDLs or MDEQ Part 201 Generic Non-Residential Drinking Water Criteria. </w:t>
      </w:r>
    </w:p>
    <w:p w:rsidR="001B1A11" w:rsidRPr="00B83C6E" w:rsidRDefault="001B1A11" w:rsidP="0093514E">
      <w:r w:rsidRPr="00B83C6E">
        <w:t>Groundwater analytical results indicate</w:t>
      </w:r>
      <w:r w:rsidR="00645C43">
        <w:t>d</w:t>
      </w:r>
      <w:r w:rsidRPr="00B83C6E">
        <w:t xml:space="preserve"> concentrations above the MDEQ Part 201 Non-Residential Drinking Water </w:t>
      </w:r>
      <w:r w:rsidR="007F16E1">
        <w:t>C</w:t>
      </w:r>
      <w:r w:rsidRPr="00B83C6E">
        <w:t>riteria as follows:</w:t>
      </w:r>
    </w:p>
    <w:p w:rsidR="001B1A11" w:rsidRPr="00B83C6E" w:rsidRDefault="001B1A11" w:rsidP="0093514E">
      <w:pPr>
        <w:pStyle w:val="Bullet-1"/>
      </w:pPr>
      <w:r w:rsidRPr="00B83C6E">
        <w:t>Total iron for the monitoring wells sampled during this event (OBG MW-1 through OBG MW-8)</w:t>
      </w:r>
    </w:p>
    <w:p w:rsidR="001B1A11" w:rsidRPr="00B83C6E" w:rsidRDefault="001B1A11" w:rsidP="0093514E">
      <w:pPr>
        <w:pStyle w:val="Bullet-1"/>
      </w:pPr>
      <w:r w:rsidRPr="00B83C6E">
        <w:t>Total manganese for the groundwater monitoring well groundwater samples analyzed, except for OBG MW-7.</w:t>
      </w:r>
    </w:p>
    <w:p w:rsidR="001B1A11" w:rsidRPr="00B83C6E" w:rsidRDefault="00407BA3" w:rsidP="0093514E">
      <w:r>
        <w:t>In addition to a groundwater sample collected for total analysis, a</w:t>
      </w:r>
      <w:r w:rsidR="001B1A11" w:rsidRPr="00B83C6E">
        <w:t xml:space="preserve"> dissolved groundwater sample was collected from OBG MW-5 due to the groundwater turbidity not stabilizing above 10 NTU. Analytical results for the dissolved metals analysis indicate concentrations of dissolved chromium, dissolved lead and dissolved nickel either below MDLs or MDEQ Part 201 Generic Non-Residential Drinking Water Criteria. Analytical results for dissolved arsenic, dissolved iron and dissolved manganese indicate concentrations above MDEQ Part 201 Generic Non-Residential Drinking Water Criteria. Analytical results for total cyanide indicate no concentrations above MDEQ Part 201 Generic Non-Residential Drinking Water Criteria. </w:t>
      </w:r>
    </w:p>
    <w:p w:rsidR="001B1A11" w:rsidRPr="00B83C6E" w:rsidRDefault="001B1A11" w:rsidP="0093514E">
      <w:r w:rsidRPr="00B83C6E">
        <w:t>A summar</w:t>
      </w:r>
      <w:r w:rsidR="0077119D">
        <w:t>y</w:t>
      </w:r>
      <w:r w:rsidRPr="00B83C6E">
        <w:t xml:space="preserve"> </w:t>
      </w:r>
      <w:r w:rsidR="0077119D">
        <w:t xml:space="preserve">of </w:t>
      </w:r>
      <w:r w:rsidRPr="00B83C6E">
        <w:t xml:space="preserve">the 2008 Addendum Report third quarter groundwater analytical results is included as Table 4 in Appendix B. </w:t>
      </w:r>
    </w:p>
    <w:p w:rsidR="001B1A11" w:rsidRPr="00B83C6E" w:rsidRDefault="001B1A11" w:rsidP="0093514E">
      <w:pPr>
        <w:pStyle w:val="Heading4"/>
      </w:pPr>
      <w:bookmarkStart w:id="43" w:name="_Toc352766939"/>
      <w:r w:rsidRPr="00B83C6E">
        <w:t>Fourth Quarter Groundwater Sampling Results</w:t>
      </w:r>
      <w:bookmarkEnd w:id="43"/>
    </w:p>
    <w:p w:rsidR="001B1A11" w:rsidRPr="00B83C6E" w:rsidRDefault="001B1A11" w:rsidP="0093514E">
      <w:r w:rsidRPr="00B83C6E">
        <w:t>Analytical results for the fourth quarter groundwater sampling event (March 2008) indicate no concentrations of VOCs above MDEQ Part 201 Generic Non-Residential Drinking Water Criteria</w:t>
      </w:r>
      <w:r w:rsidR="00C611DB">
        <w:t>. Fourth quarter groundwater sample results are</w:t>
      </w:r>
      <w:r w:rsidRPr="00B83C6E">
        <w:t xml:space="preserve"> comparable to the previous three quarterly sampling results. Analytical results for the </w:t>
      </w:r>
      <w:proofErr w:type="spellStart"/>
      <w:r w:rsidRPr="00B83C6E">
        <w:t>inorganics</w:t>
      </w:r>
      <w:proofErr w:type="spellEnd"/>
      <w:r w:rsidRPr="00B83C6E">
        <w:t xml:space="preserve"> indicate concentrations for total arsenic, total chromium, total nickel, total lead and cyanide either below MDLs or MDEQ Part 201 Generic Non-Residential Drinking Water Criteria. Groundwater analytical results also indicate concentrations above MDEQ Part 201 Non-Residential Drinking Water </w:t>
      </w:r>
      <w:r w:rsidR="009A3704">
        <w:t>C</w:t>
      </w:r>
      <w:r w:rsidRPr="00B83C6E">
        <w:t>riteria as follows:</w:t>
      </w:r>
    </w:p>
    <w:p w:rsidR="001B1A11" w:rsidRPr="00A02AC5" w:rsidRDefault="001B1A11" w:rsidP="00E83B86">
      <w:pPr>
        <w:pStyle w:val="Bullet-1"/>
      </w:pPr>
      <w:r w:rsidRPr="00A02AC5">
        <w:t>Total iron for monitoring well groundwater samples fr</w:t>
      </w:r>
      <w:r w:rsidR="00E83B86">
        <w:t>om OBG MW-3, OBG MW-5, OBG MW-6</w:t>
      </w:r>
      <w:r w:rsidRPr="00A02AC5">
        <w:t xml:space="preserve"> and OBG MW-7</w:t>
      </w:r>
    </w:p>
    <w:p w:rsidR="001B1A11" w:rsidRPr="00B83C6E" w:rsidRDefault="001B1A11" w:rsidP="0093514E">
      <w:pPr>
        <w:pStyle w:val="Bullet-1"/>
      </w:pPr>
      <w:r w:rsidRPr="00B83C6E">
        <w:t>Total manganese for the monitoring wells sampled during this event.</w:t>
      </w:r>
    </w:p>
    <w:p w:rsidR="001B1A11" w:rsidRPr="00B83C6E" w:rsidRDefault="001B1A11" w:rsidP="0093514E">
      <w:r w:rsidRPr="00B83C6E">
        <w:t xml:space="preserve">A dissolved groundwater sample was </w:t>
      </w:r>
      <w:r w:rsidR="009A243A">
        <w:t xml:space="preserve">also </w:t>
      </w:r>
      <w:r w:rsidRPr="00B83C6E">
        <w:t xml:space="preserve">collected from OBG MW-5 due to the groundwater turbidity stabilizing </w:t>
      </w:r>
      <w:r w:rsidR="00E41128">
        <w:t xml:space="preserve">above </w:t>
      </w:r>
      <w:r w:rsidRPr="00B83C6E">
        <w:t>10 NTU. Analytical results for the dissolved metals analysis indicate concentrations of dissolved arsenic, chromium, dissolved iron, dissolved lead and dissolved nickel either below MDLs or MDEQ Part 201 Generic Non-Residential Drinking Water Criteria. Analytical results for dissolved manganese indicate concentrations above MDEQ Part 201 Generic Non-Residential Drinking Water Criteria.</w:t>
      </w:r>
    </w:p>
    <w:p w:rsidR="001B1A11" w:rsidRPr="00B83C6E" w:rsidRDefault="001B1A11" w:rsidP="0093514E">
      <w:r w:rsidRPr="00B83C6E">
        <w:t xml:space="preserve">Analytical results for total cyanide indicate no concentrations above MDEQ Part 201 Generic Non-Residential Drinking Water Criteria. </w:t>
      </w:r>
    </w:p>
    <w:p w:rsidR="001B1A11" w:rsidRPr="00B83C6E" w:rsidRDefault="001B1A11" w:rsidP="0093514E">
      <w:r w:rsidRPr="00B83C6E">
        <w:t xml:space="preserve">A table summarizing the 2008 Addendum Report fourth quarter groundwater analytical results is included as Table 5 in Appendix B. </w:t>
      </w:r>
    </w:p>
    <w:p w:rsidR="001B1A11" w:rsidRPr="004C7216" w:rsidRDefault="001B1A11" w:rsidP="0093514E">
      <w:pPr>
        <w:pStyle w:val="Heading4"/>
      </w:pPr>
      <w:bookmarkStart w:id="44" w:name="_Toc352766940"/>
      <w:r w:rsidRPr="004C7216">
        <w:t>2008 Addendum Report Conclusion</w:t>
      </w:r>
      <w:bookmarkEnd w:id="44"/>
    </w:p>
    <w:p w:rsidR="001B1A11" w:rsidRPr="00B83C6E" w:rsidRDefault="001B1A11" w:rsidP="0093514E">
      <w:r w:rsidRPr="00B83C6E">
        <w:t xml:space="preserve">Based on the previous soil analytical results and the quarterly groundwater sampling results included in the 2008 Addendum Report indicating concentrations of arsenic, iron, lead, manganese and cyanide above Part 201 Generic Non-Residential Drinking Water </w:t>
      </w:r>
      <w:r w:rsidR="00832A75">
        <w:t>C</w:t>
      </w:r>
      <w:r w:rsidRPr="00B83C6E">
        <w:t>riteria, a migration pathway analysis was performed. Since the migration pathway</w:t>
      </w:r>
      <w:r w:rsidR="00101009">
        <w:t>s</w:t>
      </w:r>
      <w:r w:rsidRPr="00B83C6E">
        <w:t xml:space="preserve"> applicable to </w:t>
      </w:r>
      <w:r w:rsidR="008343C0">
        <w:t xml:space="preserve">the </w:t>
      </w:r>
      <w:r w:rsidRPr="00B83C6E">
        <w:t>soil impacts at</w:t>
      </w:r>
      <w:r w:rsidR="009C2CC2">
        <w:t xml:space="preserve"> the f</w:t>
      </w:r>
      <w:r w:rsidRPr="00B83C6E">
        <w:t>ormer WWTP were addressed in the November 2000 Basin Investigation Report, the 2008 Addendum Report addressed the pertinent groundwater migration pathways.</w:t>
      </w:r>
    </w:p>
    <w:p w:rsidR="001B1A11" w:rsidRPr="00B83C6E" w:rsidRDefault="001B1A11" w:rsidP="0093514E">
      <w:r w:rsidRPr="00B83C6E">
        <w:t xml:space="preserve">Based on the evaluation of the pertinent groundwater migration pathways for the former WWTP and closure activities presented previously </w:t>
      </w:r>
      <w:r w:rsidR="00F17616">
        <w:t>for</w:t>
      </w:r>
      <w:r w:rsidRPr="00B83C6E">
        <w:t xml:space="preserve"> the former WWTP, the 2008 Addendum Report concluded that closure of the former WWTP pursuant to the NREPA Part 111 had been achieved. MDEQ provided comments on the 2008 Addendum Report in a letter dated March 24, 2009 (Attachment A). MDEQ comments noted that </w:t>
      </w:r>
      <w:r w:rsidR="00C473C0">
        <w:t>the report did not demonstrate</w:t>
      </w:r>
      <w:r w:rsidRPr="00B83C6E">
        <w:t xml:space="preserve"> that closure had been achieved. MDEQ indicated that final closure of the area could not occur until it was documented that </w:t>
      </w:r>
      <w:r>
        <w:t xml:space="preserve">the extent of impact on-site was assessed. </w:t>
      </w:r>
      <w:r w:rsidRPr="00B83C6E">
        <w:t xml:space="preserve">Specifically the letter noted that the dissolved iron and manganese in groundwater was not delineated horizontally, and that one of the report’s conclusions, that shallow groundwater at the site was not in a aquifer, could not be supported unless that designation is formally approved through submittal of a GWNIAA Determination. Additionally, in a teleconference call on May 4, 2009, MDEQ expressed concern that VOCs in soil were not delineated vertically. MDEQ comments to the 2008 Addendum Report are included as Attachment A. </w:t>
      </w:r>
    </w:p>
    <w:p w:rsidR="001B1A11" w:rsidRPr="00B83C6E" w:rsidRDefault="00907804" w:rsidP="0093514E">
      <w:r>
        <w:t>REALM</w:t>
      </w:r>
      <w:r w:rsidR="001B1A11" w:rsidRPr="00B83C6E">
        <w:t xml:space="preserve"> responded to the MDEQ comments in a submittal dated July 13, 2009. The response to MDEQ comments are summarized below in Section 1.</w:t>
      </w:r>
      <w:r w:rsidR="00C32D1B">
        <w:t>2.3</w:t>
      </w:r>
      <w:r w:rsidR="001B1A11" w:rsidRPr="00B83C6E">
        <w:t xml:space="preserve"> and are also included as Attachment B.</w:t>
      </w:r>
    </w:p>
    <w:p w:rsidR="001B1A11" w:rsidRPr="00B83C6E" w:rsidRDefault="001B1A11" w:rsidP="0093514E">
      <w:pPr>
        <w:pStyle w:val="Heading3"/>
      </w:pPr>
      <w:bookmarkStart w:id="45" w:name="_Toc352766941"/>
      <w:r w:rsidRPr="00B83C6E">
        <w:t>1</w:t>
      </w:r>
      <w:r>
        <w:t>.</w:t>
      </w:r>
      <w:r w:rsidR="0080525A">
        <w:t>2.3</w:t>
      </w:r>
      <w:r>
        <w:t xml:space="preserve"> F</w:t>
      </w:r>
      <w:r w:rsidRPr="00B83C6E">
        <w:t>acility Response to MDEQ Comments to the 2008 Addendum Report</w:t>
      </w:r>
      <w:bookmarkEnd w:id="45"/>
    </w:p>
    <w:p w:rsidR="001B1A11" w:rsidRPr="00B83C6E" w:rsidRDefault="001B1A11" w:rsidP="0093514E">
      <w:r w:rsidRPr="00B83C6E">
        <w:t xml:space="preserve">MDEQ provided comments to the 2008 Addendum Report in a letter dated March 24, 2009 (Attachment A) and also in a teleconference call conducted on May 4, 2009. </w:t>
      </w:r>
      <w:r>
        <w:t>MDEQ indicated</w:t>
      </w:r>
      <w:r w:rsidRPr="00B83C6E">
        <w:t xml:space="preserve"> that the dissolved iron and manganese in groundwater w</w:t>
      </w:r>
      <w:r w:rsidR="00677EAF">
        <w:t>ere</w:t>
      </w:r>
      <w:r w:rsidRPr="00B83C6E">
        <w:t xml:space="preserve"> not delineated horizontally, and that one of the report’s conclusions, that shallow groundwater at the site was not in a</w:t>
      </w:r>
      <w:r w:rsidR="00127B76">
        <w:t>n</w:t>
      </w:r>
      <w:r w:rsidRPr="00B83C6E">
        <w:t xml:space="preserve"> aquifer, could not be supported unless that designation is formally approved through submittal of a GWNIAA Determination. Additionally, in the teleconference call on May 4, 2009 MDEQ expressed concern that VOCs in soil were not delineated vertically. A response to the MDEQ comments on the 2008 Addendum Report was submitted to MDEQ in a letter dated July 13, 2009 (Attachment B). </w:t>
      </w:r>
    </w:p>
    <w:p w:rsidR="001B1A11" w:rsidRPr="00B83C6E" w:rsidRDefault="001B1A11" w:rsidP="0093514E">
      <w:r w:rsidRPr="00B83C6E">
        <w:t>The following summarize the response to the MDEQ comments:</w:t>
      </w:r>
    </w:p>
    <w:p w:rsidR="001B1A11" w:rsidRPr="00B83C6E" w:rsidRDefault="001B1A11" w:rsidP="0093514E">
      <w:r w:rsidRPr="00B83C6E">
        <w:rPr>
          <w:b/>
        </w:rPr>
        <w:t xml:space="preserve">Iron in Groundwater. </w:t>
      </w:r>
      <w:r w:rsidRPr="00B83C6E">
        <w:t xml:space="preserve">Section R 299.5707, </w:t>
      </w:r>
      <w:proofErr w:type="gramStart"/>
      <w:r w:rsidRPr="00B83C6E">
        <w:t>R299.5706a(</w:t>
      </w:r>
      <w:proofErr w:type="gramEnd"/>
      <w:r w:rsidRPr="00B83C6E">
        <w:t>5)(b) of the MI Part 201 regulations allows for a background concentration to be substituted for the generic cleanup criterion when the cleanup criterion is less than background. Therefore, background values were calculated for iron in groundwater at the former WWTP area. The background groundwater quality for iron was determined from the historical Coldwater Road Landfill Site (on-site) monitoring well data (dissolved concentrations). The background groundwater quality for iron was determined in accordance with MDEQ Sampling Strategies and Statistics Training Materials for Part 201 Cleanup Criteria 2002 (S</w:t>
      </w:r>
      <w:r w:rsidRPr="00B83C6E">
        <w:rPr>
          <w:vertAlign w:val="superscript"/>
        </w:rPr>
        <w:t>3</w:t>
      </w:r>
      <w:r w:rsidR="006D20B5">
        <w:t>TM)</w:t>
      </w:r>
      <w:r w:rsidRPr="00B83C6E">
        <w:t>. The background threshold value for iron was calculated as 1.73 mg/</w:t>
      </w:r>
      <w:r w:rsidR="0068181B">
        <w:t>l</w:t>
      </w:r>
      <w:r w:rsidRPr="00B83C6E">
        <w:t xml:space="preserve"> (Exhibit A to the July 13, 2009 response to comments</w:t>
      </w:r>
      <w:r>
        <w:t xml:space="preserve"> in Attachment B of this report</w:t>
      </w:r>
      <w:r w:rsidRPr="00B83C6E">
        <w:t>).</w:t>
      </w:r>
    </w:p>
    <w:p w:rsidR="001B1A11" w:rsidRPr="00B83C6E" w:rsidRDefault="001B1A11" w:rsidP="0093514E">
      <w:r w:rsidRPr="00B83C6E">
        <w:t>A table included in the response to comments summarized the iron groundwater results from the last two quarters of the quarterly sampling program (December 2007 and March 2008) compared to the site</w:t>
      </w:r>
      <w:r w:rsidR="00E01753">
        <w:t>-</w:t>
      </w:r>
      <w:r w:rsidRPr="00B83C6E">
        <w:t xml:space="preserve">specific background values and </w:t>
      </w:r>
      <w:r>
        <w:t xml:space="preserve">MDEQ </w:t>
      </w:r>
      <w:r w:rsidRPr="00B83C6E">
        <w:t xml:space="preserve">Residential Health-Based Drinking Water criteria. The comparison that the results of the quarterly groundwater sampling program at the former WWTP are below the site-specific background </w:t>
      </w:r>
      <w:r w:rsidR="00B5671D">
        <w:t xml:space="preserve">concentration </w:t>
      </w:r>
      <w:r w:rsidRPr="00B83C6E">
        <w:t>for iron, except for one sample collected during the December 2007 sampling event at well OBG MW-3 (1</w:t>
      </w:r>
      <w:r w:rsidR="0068181B">
        <w:t>.78</w:t>
      </w:r>
      <w:r w:rsidRPr="00B83C6E">
        <w:t xml:space="preserve"> </w:t>
      </w:r>
      <w:r w:rsidR="0068181B">
        <w:t>m</w:t>
      </w:r>
      <w:r w:rsidRPr="00B83C6E">
        <w:t>g/l). However, this detection of iron is below the Health-Based Drinking Water criterion (2</w:t>
      </w:r>
      <w:r w:rsidR="0068181B">
        <w:t>.</w:t>
      </w:r>
      <w:r w:rsidRPr="00B83C6E">
        <w:t xml:space="preserve">0 </w:t>
      </w:r>
      <w:r w:rsidR="0068181B">
        <w:t>m</w:t>
      </w:r>
      <w:r w:rsidRPr="00B83C6E">
        <w:t xml:space="preserve">g/l). Therefore, no additional sampling or investigation </w:t>
      </w:r>
      <w:r>
        <w:t>wa</w:t>
      </w:r>
      <w:r w:rsidRPr="00B83C6E">
        <w:t>s necessary to assess the extent of iron detected in groundwater at the former WWTP area.</w:t>
      </w:r>
    </w:p>
    <w:p w:rsidR="001B1A11" w:rsidRPr="00B83C6E" w:rsidRDefault="001B1A11" w:rsidP="0093514E">
      <w:proofErr w:type="gramStart"/>
      <w:r w:rsidRPr="00B83C6E">
        <w:rPr>
          <w:b/>
        </w:rPr>
        <w:t>Manganese in Groundwater.</w:t>
      </w:r>
      <w:proofErr w:type="gramEnd"/>
      <w:r w:rsidRPr="00B83C6E">
        <w:rPr>
          <w:b/>
        </w:rPr>
        <w:t xml:space="preserve"> </w:t>
      </w:r>
      <w:r w:rsidR="00804353" w:rsidRPr="00804353">
        <w:t>B</w:t>
      </w:r>
      <w:r w:rsidRPr="00B83C6E">
        <w:t>ackground values were calculated for manganese in groundwater at the former WWTP area</w:t>
      </w:r>
      <w:r w:rsidR="007E0DDD">
        <w:t xml:space="preserve"> in accordance with the rationale for iron</w:t>
      </w:r>
      <w:r w:rsidRPr="00B83C6E">
        <w:t xml:space="preserve">. The background threshold value for </w:t>
      </w:r>
      <w:r w:rsidR="007E0DDD">
        <w:t>manganese</w:t>
      </w:r>
      <w:r w:rsidRPr="00B83C6E">
        <w:t xml:space="preserve"> was calculated as 1.31 mg/</w:t>
      </w:r>
      <w:r w:rsidR="0068181B">
        <w:t>l</w:t>
      </w:r>
      <w:r w:rsidRPr="00B83C6E">
        <w:t xml:space="preserve"> (Exhibit B to the July 13, 2009 response to comments</w:t>
      </w:r>
      <w:r w:rsidR="00E96D1B">
        <w:t xml:space="preserve"> in Attachment B</w:t>
      </w:r>
      <w:r w:rsidRPr="00B83C6E">
        <w:t xml:space="preserve">). </w:t>
      </w:r>
    </w:p>
    <w:p w:rsidR="001B1A11" w:rsidRPr="00B83C6E" w:rsidRDefault="001B1A11" w:rsidP="0093514E">
      <w:r w:rsidRPr="00B83C6E">
        <w:t xml:space="preserve">One well location (OBG MW-3) exhibited concentrations of manganese above the calculated background concentration for the last two quarterly sampling events included in the 2008 Addendum Report. The July 13, 2009 response to comments proposed that potential off-site exposure would be addressed through the installation and sampling of two monitoring wells at the west property boundary to determine the concentrations of manganese in groundwater. </w:t>
      </w:r>
    </w:p>
    <w:p w:rsidR="001B1A11" w:rsidRPr="00B83C6E" w:rsidRDefault="001B1A11" w:rsidP="0093514E">
      <w:r w:rsidRPr="00B83C6E">
        <w:t>It was further noted that if the results indicate manganese concentrations were below the site-specific background thus indicating that off-site migration was not occurring, closure of the area would be pursued through an Addendum to the Closure Certification Report. The site deed restriction would be expanded to prohibit use of the groundwater at the entire site, including the former WWTP area. The current Declaration of Restrictive Covenant prohibits the construction of wells or other devices to extract groundwater for consumption, irrigation, dewatering or any other use at two areas of the Coldwater Road Landfill Site: the Remaining Materials Area (RMA) and the landfill.</w:t>
      </w:r>
    </w:p>
    <w:p w:rsidR="001B1A11" w:rsidRPr="00B83C6E" w:rsidRDefault="001B1A11" w:rsidP="0093514E">
      <w:proofErr w:type="gramStart"/>
      <w:r w:rsidRPr="00B83C6E">
        <w:rPr>
          <w:b/>
        </w:rPr>
        <w:t>Groundwater Not in an Aquifer.</w:t>
      </w:r>
      <w:proofErr w:type="gramEnd"/>
      <w:r w:rsidRPr="00B83C6E">
        <w:rPr>
          <w:b/>
        </w:rPr>
        <w:t xml:space="preserve"> </w:t>
      </w:r>
      <w:r w:rsidRPr="00B83C6E">
        <w:t>As noted in the July 13, 2009 response to comments</w:t>
      </w:r>
      <w:r w:rsidR="00A64B88">
        <w:t>,</w:t>
      </w:r>
      <w:r w:rsidRPr="00B83C6E">
        <w:t xml:space="preserve"> the facility will not rely on a GWNIAA determination for Site closure, but instead document that there are no </w:t>
      </w:r>
      <w:proofErr w:type="spellStart"/>
      <w:r w:rsidRPr="00B83C6E">
        <w:t>exceedances</w:t>
      </w:r>
      <w:proofErr w:type="spellEnd"/>
      <w:r w:rsidRPr="00B83C6E">
        <w:t xml:space="preserve"> of the Residential Health-Based Drinking Water </w:t>
      </w:r>
      <w:r w:rsidR="00A64B88">
        <w:t>C</w:t>
      </w:r>
      <w:r w:rsidRPr="00B83C6E">
        <w:t>riteria or site-specific background values at the western property boundary, thus demonstrating no off-site exposure (i.e., drinking contaminated groundwater) issues.</w:t>
      </w:r>
    </w:p>
    <w:p w:rsidR="001B1A11" w:rsidRPr="00B83C6E" w:rsidRDefault="001B1A11" w:rsidP="0093514E">
      <w:proofErr w:type="gramStart"/>
      <w:r w:rsidRPr="00B83C6E">
        <w:rPr>
          <w:b/>
        </w:rPr>
        <w:t>Volatile Organic Compounds at Well OBG MW-5.</w:t>
      </w:r>
      <w:proofErr w:type="gramEnd"/>
      <w:r w:rsidRPr="00B83C6E">
        <w:rPr>
          <w:b/>
        </w:rPr>
        <w:t xml:space="preserve"> </w:t>
      </w:r>
      <w:r w:rsidRPr="00B83C6E">
        <w:t>MDEQ recommended a deep monitoring well be installed at the site to assess the potential vertical extent of VOC impact to groundwater. The Natural Resources and Environmental Protection Act (NREPA), 1994 PA 451 R299.5528 states that a remedial investigation shall define the nature and extent of contamination in excess of the applicable generic residential cleanup criteria. No VOCs were detected at OBG MW-5 (or at adjacent wells OBG MW-6 or OBG MW-8) above the Generic Residential Drinking Water criteria during four rounds of quarterly sampling. Therefore, no further investigation is required under NREPA R299.5528.</w:t>
      </w:r>
    </w:p>
    <w:p w:rsidR="001B1A11" w:rsidRPr="00B83C6E" w:rsidRDefault="001B1A11" w:rsidP="0093514E">
      <w:r>
        <w:t>I</w:t>
      </w:r>
      <w:r w:rsidRPr="00B83C6E">
        <w:t>n a letter dated September 26, 20</w:t>
      </w:r>
      <w:r>
        <w:t>1</w:t>
      </w:r>
      <w:r w:rsidRPr="00B83C6E">
        <w:t>1</w:t>
      </w:r>
      <w:r w:rsidR="005C63F3">
        <w:t>,</w:t>
      </w:r>
      <w:r w:rsidRPr="00B83C6E">
        <w:t xml:space="preserve"> </w:t>
      </w:r>
      <w:r>
        <w:t xml:space="preserve">MDEQ indicated they </w:t>
      </w:r>
      <w:r w:rsidRPr="00B83C6E">
        <w:t>reviewed the July 13, 2009 response to comments regarding the 2008 Addendum Report for compliance with applicable regulations</w:t>
      </w:r>
      <w:r>
        <w:t xml:space="preserve"> and </w:t>
      </w:r>
      <w:r w:rsidRPr="00B83C6E">
        <w:t xml:space="preserve">the response to comments were acceptable and the additional investigation work could </w:t>
      </w:r>
      <w:r>
        <w:t>proceed</w:t>
      </w:r>
      <w:r w:rsidRPr="00B83C6E">
        <w:t xml:space="preserve">. </w:t>
      </w:r>
    </w:p>
    <w:p w:rsidR="00B83C6E" w:rsidRPr="00B83C6E" w:rsidRDefault="004C7216" w:rsidP="0093514E">
      <w:pPr>
        <w:pStyle w:val="Heading2"/>
      </w:pPr>
      <w:bookmarkStart w:id="46" w:name="_Toc341774513"/>
      <w:bookmarkStart w:id="47" w:name="_Toc352766942"/>
      <w:r>
        <w:t xml:space="preserve">1.3 </w:t>
      </w:r>
      <w:r w:rsidR="00B83C6E" w:rsidRPr="00B83C6E">
        <w:t>Contaminant Distribution</w:t>
      </w:r>
      <w:bookmarkEnd w:id="46"/>
      <w:bookmarkEnd w:id="47"/>
      <w:r w:rsidR="00B83C6E" w:rsidRPr="00B83C6E">
        <w:t xml:space="preserve"> </w:t>
      </w:r>
    </w:p>
    <w:p w:rsidR="00B83C6E" w:rsidRDefault="00B83C6E" w:rsidP="0093514E">
      <w:r w:rsidRPr="00B83C6E">
        <w:t xml:space="preserve">The chemicals of concern (COCs) at the former WWTP were identified through the Basin Investigation Report (November 24, 2000) and the 2008 Addendum Report. The COCs were defined as those chemicals in which analytical results exceed MDEQ Part 201 Generic Non-Residential Drinking Water Protection </w:t>
      </w:r>
      <w:r w:rsidR="009B1CB5">
        <w:t>C</w:t>
      </w:r>
      <w:r w:rsidRPr="00B83C6E">
        <w:t xml:space="preserve">riteria for soil and the Part 201 Generic </w:t>
      </w:r>
      <w:r w:rsidR="00860B75">
        <w:t>Non-Residential Drinking Water C</w:t>
      </w:r>
      <w:r w:rsidRPr="00B83C6E">
        <w:t>riteria for groundwater. The following is a list of the COCs at the former WWTP:</w:t>
      </w:r>
    </w:p>
    <w:tbl>
      <w:tblPr>
        <w:tblStyle w:val="OBrienGereGREEN"/>
        <w:tblW w:w="0" w:type="auto"/>
        <w:jc w:val="center"/>
        <w:tblLook w:val="04A0"/>
      </w:tblPr>
      <w:tblGrid>
        <w:gridCol w:w="3420"/>
        <w:gridCol w:w="3150"/>
      </w:tblGrid>
      <w:tr w:rsidR="00B12EAA" w:rsidTr="00A02AC5">
        <w:trPr>
          <w:cnfStyle w:val="100000000000"/>
          <w:jc w:val="center"/>
        </w:trPr>
        <w:tc>
          <w:tcPr>
            <w:cnfStyle w:val="001000000100"/>
            <w:tcW w:w="3420" w:type="dxa"/>
          </w:tcPr>
          <w:p w:rsidR="00B12EAA" w:rsidRPr="002745EE" w:rsidRDefault="00B12EAA" w:rsidP="0093514E">
            <w:pPr>
              <w:rPr>
                <w:b w:val="0"/>
                <w:bCs w:val="0"/>
              </w:rPr>
            </w:pPr>
            <w:r w:rsidRPr="002745EE">
              <w:t>Soil</w:t>
            </w:r>
          </w:p>
        </w:tc>
        <w:tc>
          <w:tcPr>
            <w:tcW w:w="3150" w:type="dxa"/>
          </w:tcPr>
          <w:p w:rsidR="00B12EAA" w:rsidRPr="002745EE" w:rsidRDefault="00B12EAA" w:rsidP="0093514E">
            <w:pPr>
              <w:cnfStyle w:val="100000000000"/>
              <w:rPr>
                <w:b w:val="0"/>
                <w:bCs w:val="0"/>
              </w:rPr>
            </w:pPr>
            <w:r w:rsidRPr="002745EE">
              <w:t>Groundwater</w:t>
            </w:r>
          </w:p>
        </w:tc>
      </w:tr>
      <w:tr w:rsidR="00B12EAA" w:rsidTr="00A02AC5">
        <w:trPr>
          <w:cnfStyle w:val="000000100000"/>
          <w:jc w:val="center"/>
        </w:trPr>
        <w:tc>
          <w:tcPr>
            <w:cnfStyle w:val="001000000000"/>
            <w:tcW w:w="3420" w:type="dxa"/>
          </w:tcPr>
          <w:p w:rsidR="00B12EAA" w:rsidRPr="002745EE" w:rsidRDefault="00B12EAA" w:rsidP="0093514E">
            <w:pPr>
              <w:rPr>
                <w:b w:val="0"/>
                <w:bCs w:val="0"/>
              </w:rPr>
            </w:pPr>
            <w:r w:rsidRPr="002745EE">
              <w:t>Benzene</w:t>
            </w:r>
          </w:p>
        </w:tc>
        <w:tc>
          <w:tcPr>
            <w:tcW w:w="3150" w:type="dxa"/>
          </w:tcPr>
          <w:p w:rsidR="00B12EAA" w:rsidRPr="00F1318F" w:rsidRDefault="008C6D41" w:rsidP="0093514E">
            <w:pPr>
              <w:cnfStyle w:val="000000100000"/>
            </w:pPr>
            <w:r w:rsidRPr="008C6D41">
              <w:t>Iron (total and dissolved)</w:t>
            </w:r>
          </w:p>
        </w:tc>
      </w:tr>
      <w:tr w:rsidR="00B12EAA" w:rsidTr="00A02AC5">
        <w:trPr>
          <w:cnfStyle w:val="000000010000"/>
          <w:jc w:val="center"/>
        </w:trPr>
        <w:tc>
          <w:tcPr>
            <w:cnfStyle w:val="001000000000"/>
            <w:tcW w:w="3420" w:type="dxa"/>
          </w:tcPr>
          <w:p w:rsidR="00B12EAA" w:rsidRPr="002745EE" w:rsidRDefault="00B12EAA" w:rsidP="0093514E">
            <w:pPr>
              <w:rPr>
                <w:b w:val="0"/>
                <w:bCs w:val="0"/>
              </w:rPr>
            </w:pPr>
            <w:r w:rsidRPr="002745EE">
              <w:t>Cyanide</w:t>
            </w:r>
          </w:p>
        </w:tc>
        <w:tc>
          <w:tcPr>
            <w:tcW w:w="3150" w:type="dxa"/>
          </w:tcPr>
          <w:p w:rsidR="00B12EAA" w:rsidRPr="00F1318F" w:rsidRDefault="008C6D41" w:rsidP="0093514E">
            <w:pPr>
              <w:cnfStyle w:val="000000010000"/>
            </w:pPr>
            <w:r w:rsidRPr="008C6D41">
              <w:t>Lead (dissolved)</w:t>
            </w:r>
          </w:p>
        </w:tc>
      </w:tr>
      <w:tr w:rsidR="00B12EAA" w:rsidTr="00A02AC5">
        <w:trPr>
          <w:cnfStyle w:val="000000100000"/>
          <w:jc w:val="center"/>
        </w:trPr>
        <w:tc>
          <w:tcPr>
            <w:cnfStyle w:val="001000000000"/>
            <w:tcW w:w="3420" w:type="dxa"/>
          </w:tcPr>
          <w:p w:rsidR="00B12EAA" w:rsidRPr="002745EE" w:rsidRDefault="00B12EAA" w:rsidP="0093514E">
            <w:pPr>
              <w:rPr>
                <w:b w:val="0"/>
                <w:bCs w:val="0"/>
              </w:rPr>
            </w:pPr>
            <w:r w:rsidRPr="002745EE">
              <w:t>Nickel</w:t>
            </w:r>
          </w:p>
        </w:tc>
        <w:tc>
          <w:tcPr>
            <w:tcW w:w="3150" w:type="dxa"/>
          </w:tcPr>
          <w:p w:rsidR="00B12EAA" w:rsidRPr="00F1318F" w:rsidRDefault="008C6D41" w:rsidP="0093514E">
            <w:pPr>
              <w:cnfStyle w:val="000000100000"/>
            </w:pPr>
            <w:r w:rsidRPr="008C6D41">
              <w:t>Manganese (total and dissolved)</w:t>
            </w:r>
          </w:p>
        </w:tc>
      </w:tr>
      <w:tr w:rsidR="00B12EAA" w:rsidTr="00A02AC5">
        <w:trPr>
          <w:cnfStyle w:val="000000010000"/>
          <w:jc w:val="center"/>
        </w:trPr>
        <w:tc>
          <w:tcPr>
            <w:cnfStyle w:val="001000000000"/>
            <w:tcW w:w="3420" w:type="dxa"/>
          </w:tcPr>
          <w:p w:rsidR="00B12EAA" w:rsidRPr="002745EE" w:rsidRDefault="00B12EAA" w:rsidP="0093514E">
            <w:pPr>
              <w:rPr>
                <w:b w:val="0"/>
                <w:bCs w:val="0"/>
              </w:rPr>
            </w:pPr>
            <w:r w:rsidRPr="002745EE">
              <w:t>1,2,4- trimethylbenzene</w:t>
            </w:r>
          </w:p>
        </w:tc>
        <w:tc>
          <w:tcPr>
            <w:tcW w:w="3150" w:type="dxa"/>
          </w:tcPr>
          <w:p w:rsidR="00B12EAA" w:rsidRPr="002745EE" w:rsidRDefault="00B12EAA" w:rsidP="0093514E">
            <w:pPr>
              <w:cnfStyle w:val="000000010000"/>
            </w:pPr>
          </w:p>
        </w:tc>
      </w:tr>
      <w:tr w:rsidR="00B12EAA" w:rsidTr="00A02AC5">
        <w:trPr>
          <w:cnfStyle w:val="000000100000"/>
          <w:jc w:val="center"/>
        </w:trPr>
        <w:tc>
          <w:tcPr>
            <w:cnfStyle w:val="001000000000"/>
            <w:tcW w:w="3420" w:type="dxa"/>
          </w:tcPr>
          <w:p w:rsidR="00B12EAA" w:rsidRPr="002745EE" w:rsidRDefault="00B12EAA" w:rsidP="0093514E">
            <w:pPr>
              <w:rPr>
                <w:b w:val="0"/>
                <w:bCs w:val="0"/>
              </w:rPr>
            </w:pPr>
            <w:proofErr w:type="spellStart"/>
            <w:r w:rsidRPr="002745EE">
              <w:t>Trichloroethene</w:t>
            </w:r>
            <w:proofErr w:type="spellEnd"/>
          </w:p>
        </w:tc>
        <w:tc>
          <w:tcPr>
            <w:tcW w:w="3150" w:type="dxa"/>
          </w:tcPr>
          <w:p w:rsidR="00B12EAA" w:rsidRPr="002745EE" w:rsidRDefault="00B12EAA" w:rsidP="0093514E">
            <w:pPr>
              <w:cnfStyle w:val="000000100000"/>
            </w:pPr>
          </w:p>
        </w:tc>
      </w:tr>
    </w:tbl>
    <w:p w:rsidR="00B12EAA" w:rsidRPr="00B83C6E" w:rsidRDefault="00B12EAA" w:rsidP="0093514E"/>
    <w:p w:rsidR="00FC3A8B" w:rsidRDefault="00FC3A8B" w:rsidP="0093514E">
      <w:r>
        <w:t>Sections describing</w:t>
      </w:r>
      <w:r w:rsidRPr="00B83C6E">
        <w:t xml:space="preserve"> the specific distribution of impact in soil and groundwater at the former WWTP</w:t>
      </w:r>
      <w:r>
        <w:t xml:space="preserve"> are included in </w:t>
      </w:r>
      <w:r w:rsidR="00577BC3">
        <w:t>S</w:t>
      </w:r>
      <w:r>
        <w:t xml:space="preserve">ection 1.2.1 (Former Basin Investigation) and </w:t>
      </w:r>
      <w:r w:rsidR="00577BC3">
        <w:t>S</w:t>
      </w:r>
      <w:r>
        <w:t>ection 1.2.2 (20</w:t>
      </w:r>
      <w:r w:rsidR="001B41A8">
        <w:t>0</w:t>
      </w:r>
      <w:r>
        <w:t>8 Addendum Report)</w:t>
      </w:r>
      <w:r w:rsidRPr="00B83C6E">
        <w:t>.</w:t>
      </w:r>
    </w:p>
    <w:p w:rsidR="001B41A8" w:rsidRDefault="009A69D4" w:rsidP="0093514E">
      <w:r>
        <w:t>Results from the previous investi</w:t>
      </w:r>
      <w:r w:rsidR="00FC3A8B">
        <w:t>gati</w:t>
      </w:r>
      <w:r>
        <w:t xml:space="preserve">ons are included as appendices to this report. </w:t>
      </w:r>
      <w:r w:rsidR="00FC3A8B" w:rsidRPr="00B83C6E">
        <w:t xml:space="preserve">Tables summarizing the soil </w:t>
      </w:r>
      <w:r w:rsidR="00FC3A8B">
        <w:t xml:space="preserve">and groundwater </w:t>
      </w:r>
      <w:r w:rsidR="00FC3A8B" w:rsidRPr="00B83C6E">
        <w:t xml:space="preserve">analytical results from the Basin Investigation Report are included in Appendix A and a figure depicting historical </w:t>
      </w:r>
      <w:r w:rsidR="00FC3A8B">
        <w:t xml:space="preserve">soil </w:t>
      </w:r>
      <w:r w:rsidR="00FC3A8B" w:rsidRPr="00B83C6E">
        <w:t xml:space="preserve">sample locations and MDEQ Part 201 criteria </w:t>
      </w:r>
      <w:proofErr w:type="spellStart"/>
      <w:r w:rsidR="00FC3A8B" w:rsidRPr="00B83C6E">
        <w:t>exceedances</w:t>
      </w:r>
      <w:proofErr w:type="spellEnd"/>
      <w:r w:rsidR="00FC3A8B" w:rsidRPr="00B83C6E">
        <w:t xml:space="preserve"> </w:t>
      </w:r>
      <w:r w:rsidR="001B41A8">
        <w:t xml:space="preserve">from the Basin Investigation Report </w:t>
      </w:r>
      <w:r w:rsidR="00FC3A8B" w:rsidRPr="00B83C6E">
        <w:t xml:space="preserve">is included </w:t>
      </w:r>
      <w:r w:rsidR="00FC3A8B">
        <w:t xml:space="preserve">in Appendix A </w:t>
      </w:r>
      <w:r w:rsidR="00FC3A8B" w:rsidRPr="00B83C6E">
        <w:t xml:space="preserve">as Figure </w:t>
      </w:r>
      <w:r w:rsidR="00FC3A8B">
        <w:t>A-1</w:t>
      </w:r>
      <w:r w:rsidR="00FC3A8B" w:rsidRPr="00B83C6E">
        <w:t>.</w:t>
      </w:r>
      <w:r w:rsidR="00FC3A8B">
        <w:t xml:space="preserve"> A figure depicting groundwater </w:t>
      </w:r>
      <w:r w:rsidR="001B41A8">
        <w:t xml:space="preserve">locations and </w:t>
      </w:r>
      <w:r w:rsidR="00FC3A8B" w:rsidRPr="00B83C6E">
        <w:t>MDEQ Part 201 criteria</w:t>
      </w:r>
      <w:r w:rsidR="00FC3A8B">
        <w:t xml:space="preserve"> </w:t>
      </w:r>
      <w:proofErr w:type="spellStart"/>
      <w:r w:rsidR="001B41A8">
        <w:t>exceedances</w:t>
      </w:r>
      <w:proofErr w:type="spellEnd"/>
      <w:r w:rsidR="001B41A8">
        <w:t xml:space="preserve"> from the Basin Investigation Report </w:t>
      </w:r>
      <w:r w:rsidR="00FC3A8B">
        <w:t xml:space="preserve">is included in Appendix A as Figure </w:t>
      </w:r>
      <w:r w:rsidR="001B41A8">
        <w:t>A</w:t>
      </w:r>
      <w:r w:rsidR="00FC3A8B">
        <w:t>-2.</w:t>
      </w:r>
      <w:r w:rsidR="001B41A8">
        <w:t xml:space="preserve"> </w:t>
      </w:r>
    </w:p>
    <w:p w:rsidR="00FC3A8B" w:rsidRPr="00B83C6E" w:rsidRDefault="001B41A8" w:rsidP="0093514E">
      <w:r>
        <w:t>T</w:t>
      </w:r>
      <w:r w:rsidRPr="00B83C6E">
        <w:t>able</w:t>
      </w:r>
      <w:r>
        <w:t>s</w:t>
      </w:r>
      <w:r w:rsidRPr="00B83C6E">
        <w:t xml:space="preserve"> summarizing the </w:t>
      </w:r>
      <w:r>
        <w:t xml:space="preserve">analytical results for the </w:t>
      </w:r>
      <w:r w:rsidRPr="00B83C6E">
        <w:t xml:space="preserve">2008 Addendum Report </w:t>
      </w:r>
      <w:r>
        <w:t xml:space="preserve">are </w:t>
      </w:r>
      <w:r w:rsidRPr="00B83C6E">
        <w:t>included in Appendix B.</w:t>
      </w:r>
      <w:r>
        <w:t xml:space="preserve"> A figure depicting groundwater locations and </w:t>
      </w:r>
      <w:r w:rsidRPr="00B83C6E">
        <w:t>MDEQ Part 201 criteria</w:t>
      </w:r>
      <w:r>
        <w:t xml:space="preserve"> </w:t>
      </w:r>
      <w:proofErr w:type="spellStart"/>
      <w:r>
        <w:t>exceedances</w:t>
      </w:r>
      <w:proofErr w:type="spellEnd"/>
      <w:r>
        <w:t xml:space="preserve"> from the 2008 Addendum Report is included in </w:t>
      </w:r>
      <w:r w:rsidRPr="00A76273">
        <w:t>Appendix B</w:t>
      </w:r>
      <w:r>
        <w:t xml:space="preserve"> as Figure B-1.</w:t>
      </w:r>
    </w:p>
    <w:p w:rsidR="00B83C6E" w:rsidRPr="00B83C6E" w:rsidRDefault="009A69D4" w:rsidP="0093514E">
      <w:pPr>
        <w:pStyle w:val="Heading2"/>
      </w:pPr>
      <w:r>
        <w:t xml:space="preserve"> </w:t>
      </w:r>
      <w:bookmarkStart w:id="48" w:name="_Toc341774518"/>
      <w:bookmarkStart w:id="49" w:name="_Toc352766943"/>
      <w:r w:rsidR="004C7216">
        <w:t>1.</w:t>
      </w:r>
      <w:r w:rsidR="00F51AEA">
        <w:t>4</w:t>
      </w:r>
      <w:r w:rsidR="004C7216">
        <w:t xml:space="preserve"> </w:t>
      </w:r>
      <w:r w:rsidR="00B83C6E" w:rsidRPr="00B83C6E">
        <w:t>Applicable Closure Criteria</w:t>
      </w:r>
      <w:bookmarkEnd w:id="48"/>
      <w:bookmarkEnd w:id="49"/>
    </w:p>
    <w:p w:rsidR="00B83C6E" w:rsidRDefault="00B83C6E" w:rsidP="0093514E">
      <w:r w:rsidRPr="00B83C6E">
        <w:t xml:space="preserve">Under the October 1992 CACO, the Coldwater Road Landfill facility had interim status pursuant to RCRA and was subject to the regulations and environmental protection standards of the Michigan Hazardous Waste Management Act, 1979 PA 64, as amended. However, following removal of a substantial volume of delisted non-hazardous soils from the Coldwater Road landfill facility, verification soil samples still exceeded the background cleanup criteria established in the 1989 Closure Plan. Therefore, GM requested modification to the 1989 Closure Plan in a letter dated </w:t>
      </w:r>
      <w:smartTag w:uri="urn:schemas-microsoft-com:office:smarttags" w:element="date">
        <w:smartTagPr>
          <w:attr w:name="ls" w:val="trans"/>
          <w:attr w:name="Month" w:val="4"/>
          <w:attr w:name="Day" w:val="23"/>
          <w:attr w:name="Year" w:val="1997"/>
        </w:smartTagPr>
        <w:r w:rsidRPr="00B83C6E">
          <w:t>April 23, 1997</w:t>
        </w:r>
      </w:smartTag>
      <w:r w:rsidRPr="00B83C6E">
        <w:t>. The letter requested changing the 1989 Closure Plan cleanup criteria (site</w:t>
      </w:r>
      <w:r w:rsidR="00E01753">
        <w:t>-</w:t>
      </w:r>
      <w:r w:rsidRPr="00B83C6E">
        <w:t xml:space="preserve"> specific background concentrations) to MDEQ Type B health-based cleanup criteria specified in the administrative rules promulgated pursuant to Part 201 of the NREPA, 1994, PA, as amended. This modification to the 1989 Closure Plan was approved by MDEQ in a letter dated </w:t>
      </w:r>
      <w:smartTag w:uri="urn:schemas-microsoft-com:office:smarttags" w:element="date">
        <w:smartTagPr>
          <w:attr w:name="ls" w:val="trans"/>
          <w:attr w:name="Month" w:val="6"/>
          <w:attr w:name="Day" w:val="26"/>
          <w:attr w:name="Year" w:val="1998"/>
        </w:smartTagPr>
        <w:r w:rsidRPr="00B83C6E">
          <w:t>June 26, 1998</w:t>
        </w:r>
      </w:smartTag>
      <w:r w:rsidRPr="00B83C6E">
        <w:t>. Therefore, on-going activities at the Coldwater Road Landfill facility under the CACO follow MDEQ Part 201 cleanup criteria. Groundwater analytical results are compared to MDEQ Generic Non-Residential criteria or site</w:t>
      </w:r>
      <w:r w:rsidR="00E01753">
        <w:t>-</w:t>
      </w:r>
      <w:r w:rsidRPr="00B83C6E">
        <w:t xml:space="preserve">specific background values for this </w:t>
      </w:r>
      <w:r w:rsidR="00B1024F">
        <w:t>2013 Addendum Report</w:t>
      </w:r>
      <w:r w:rsidRPr="00B83C6E">
        <w:t xml:space="preserve">. </w:t>
      </w:r>
    </w:p>
    <w:p w:rsidR="00796478" w:rsidRDefault="007E6992" w:rsidP="0093514E">
      <w:r w:rsidRPr="006B777A">
        <w:t xml:space="preserve">In </w:t>
      </w:r>
      <w:r w:rsidR="00D56670" w:rsidRPr="006B777A">
        <w:t xml:space="preserve">a </w:t>
      </w:r>
      <w:r w:rsidRPr="006B777A">
        <w:t>March</w:t>
      </w:r>
      <w:r>
        <w:t xml:space="preserve"> 24, 2009 letter</w:t>
      </w:r>
      <w:r w:rsidR="00101009">
        <w:t>,</w:t>
      </w:r>
      <w:r>
        <w:t xml:space="preserve"> MDEQ</w:t>
      </w:r>
      <w:r w:rsidR="00D56670">
        <w:t xml:space="preserve"> provided comments on the Addendum to the June 1999 Closure Certification Report for the Former Wastewater </w:t>
      </w:r>
      <w:r w:rsidR="00CD2518">
        <w:t>T</w:t>
      </w:r>
      <w:r w:rsidR="00D56670">
        <w:t xml:space="preserve">reatment </w:t>
      </w:r>
      <w:r w:rsidR="00CD2518">
        <w:t>P</w:t>
      </w:r>
      <w:r w:rsidR="00D56670">
        <w:t xml:space="preserve">lant submitted in September 2008. One of MDEQ’s comments </w:t>
      </w:r>
      <w:r w:rsidR="00CD2518">
        <w:t xml:space="preserve">stated the Closure Certification Report does not demonstrate </w:t>
      </w:r>
      <w:r w:rsidR="00D56670">
        <w:t>the extent of manganese concentrations detected in groundwater above the drinking water criterion</w:t>
      </w:r>
      <w:r w:rsidR="00CD2518">
        <w:t xml:space="preserve"> has been delineated</w:t>
      </w:r>
      <w:r w:rsidR="00D56670">
        <w:t>. O'Brien &amp; Gere, on behalf of REALM, submitted a response to the March 24, 2009 MDEQ letter dated July 13, 2009</w:t>
      </w:r>
      <w:r w:rsidR="00BD648D">
        <w:t xml:space="preserve">. This letter proposed establishing a site-specific background value </w:t>
      </w:r>
      <w:r w:rsidR="009C496F">
        <w:t xml:space="preserve">for </w:t>
      </w:r>
      <w:r w:rsidR="008B6F35">
        <w:t xml:space="preserve">dissolved </w:t>
      </w:r>
      <w:r w:rsidR="009C496F">
        <w:t>manganese</w:t>
      </w:r>
      <w:r w:rsidR="00772B05">
        <w:t xml:space="preserve"> using the mean plus three standard deviations </w:t>
      </w:r>
      <w:r w:rsidR="004048BD">
        <w:t xml:space="preserve">with a 95% Upper Confidence Level (UCL) </w:t>
      </w:r>
      <w:r w:rsidR="00772B05">
        <w:t>for log</w:t>
      </w:r>
      <w:r w:rsidR="005E6E9B">
        <w:t>-</w:t>
      </w:r>
      <w:r w:rsidR="00772B05">
        <w:t>normally distributed data</w:t>
      </w:r>
      <w:r w:rsidR="003D342F">
        <w:t xml:space="preserve"> following MDEQ S</w:t>
      </w:r>
      <w:r w:rsidR="003D342F" w:rsidRPr="003D342F">
        <w:rPr>
          <w:vertAlign w:val="superscript"/>
        </w:rPr>
        <w:t>3</w:t>
      </w:r>
      <w:r w:rsidR="003D342F">
        <w:t>TM guidance</w:t>
      </w:r>
      <w:r w:rsidR="005F37A4">
        <w:t xml:space="preserve">. The data set included analytical data from </w:t>
      </w:r>
      <w:r w:rsidR="003D342F">
        <w:t>monitoring wells B-7, B-9, B-18A, B-19AR, B-24R and B-28 for the time period of 1998 through 2008.</w:t>
      </w:r>
      <w:r w:rsidR="00796478">
        <w:t xml:space="preserve"> MDEQ approved the calculated site-specific background for </w:t>
      </w:r>
      <w:r w:rsidR="008B6F35">
        <w:t xml:space="preserve">dissolved </w:t>
      </w:r>
      <w:r w:rsidR="00796478">
        <w:t xml:space="preserve">manganese </w:t>
      </w:r>
      <w:r w:rsidR="00914FC7">
        <w:t>in a letter from MDEQ dated September 26, 2011</w:t>
      </w:r>
      <w:r w:rsidR="00596548">
        <w:t xml:space="preserve"> (Attachment C)</w:t>
      </w:r>
      <w:r w:rsidR="00796478">
        <w:t>.</w:t>
      </w:r>
    </w:p>
    <w:p w:rsidR="00B02C49" w:rsidRDefault="004D243E" w:rsidP="0093514E">
      <w:r>
        <w:t xml:space="preserve">During the preparation of this report, the method for calculating the site-specific background for </w:t>
      </w:r>
      <w:r w:rsidR="008B6F35">
        <w:t xml:space="preserve">dissolved </w:t>
      </w:r>
      <w:r>
        <w:t>manganese</w:t>
      </w:r>
      <w:r w:rsidR="00B21E4A">
        <w:t xml:space="preserve"> </w:t>
      </w:r>
      <w:r w:rsidR="00772B05">
        <w:t xml:space="preserve">was revisited based upon a request by MDEQ regarding an </w:t>
      </w:r>
      <w:r w:rsidR="00B21E4A">
        <w:t xml:space="preserve">adjacent </w:t>
      </w:r>
      <w:r w:rsidR="004048BD">
        <w:t xml:space="preserve">RACER Trust </w:t>
      </w:r>
      <w:r w:rsidR="00B21E4A">
        <w:t>property (</w:t>
      </w:r>
      <w:r w:rsidR="009C2CC2">
        <w:t>f</w:t>
      </w:r>
      <w:r w:rsidR="00AB0EF5">
        <w:t xml:space="preserve">ormer </w:t>
      </w:r>
      <w:r w:rsidR="00B21E4A">
        <w:t>Peregrine</w:t>
      </w:r>
      <w:r w:rsidR="004747F5">
        <w:t xml:space="preserve"> property</w:t>
      </w:r>
      <w:r w:rsidR="00B21E4A">
        <w:t>)</w:t>
      </w:r>
      <w:r w:rsidR="00772B05">
        <w:t xml:space="preserve"> and the site-specific background value proposed for inorganic constituents observed in groundwater at that Site.</w:t>
      </w:r>
      <w:r w:rsidR="00796478">
        <w:t xml:space="preserve"> </w:t>
      </w:r>
      <w:r w:rsidR="00772B05">
        <w:t xml:space="preserve">MDEQ </w:t>
      </w:r>
      <w:r w:rsidR="003E6FEB">
        <w:t>requested the use of Upper Tolerance Limits (UTLs) with 95% confidence and 95% coverage</w:t>
      </w:r>
      <w:r w:rsidR="00AB0EF5">
        <w:t xml:space="preserve"> </w:t>
      </w:r>
      <w:r w:rsidR="00EA348C">
        <w:t xml:space="preserve">and using the </w:t>
      </w:r>
      <w:proofErr w:type="spellStart"/>
      <w:r w:rsidR="00EA348C">
        <w:t>ProUCL</w:t>
      </w:r>
      <w:proofErr w:type="spellEnd"/>
      <w:r w:rsidR="00422B0D">
        <w:t xml:space="preserve"> </w:t>
      </w:r>
      <w:r w:rsidR="00EA348C">
        <w:t xml:space="preserve">software program </w:t>
      </w:r>
      <w:r w:rsidR="00AB0EF5">
        <w:t xml:space="preserve">for calculating background values at the </w:t>
      </w:r>
      <w:r w:rsidR="009C2CC2">
        <w:t>f</w:t>
      </w:r>
      <w:r w:rsidR="00AB0EF5">
        <w:t>ormer Peregrine Site</w:t>
      </w:r>
      <w:r w:rsidR="003E6FEB">
        <w:t>.</w:t>
      </w:r>
      <w:r w:rsidR="00772B05">
        <w:t xml:space="preserve"> </w:t>
      </w:r>
      <w:r w:rsidR="003D342F">
        <w:t xml:space="preserve"> </w:t>
      </w:r>
      <w:r w:rsidR="00AB0EF5">
        <w:t xml:space="preserve">In review of the data set used for the 2009 </w:t>
      </w:r>
      <w:r w:rsidR="004578F6">
        <w:t xml:space="preserve">background </w:t>
      </w:r>
      <w:r w:rsidR="00AB0EF5">
        <w:t xml:space="preserve">calculation </w:t>
      </w:r>
      <w:r w:rsidR="00A814B7">
        <w:t xml:space="preserve">at the </w:t>
      </w:r>
      <w:r w:rsidR="004747F5">
        <w:t>former</w:t>
      </w:r>
      <w:r w:rsidR="00A814B7">
        <w:t xml:space="preserve"> WWTP, </w:t>
      </w:r>
      <w:r w:rsidR="00AB0EF5">
        <w:t xml:space="preserve">it was noted that well location B-9 data was used in the </w:t>
      </w:r>
      <w:r w:rsidR="004578F6">
        <w:t xml:space="preserve">data set for the </w:t>
      </w:r>
      <w:r w:rsidR="004747F5">
        <w:t xml:space="preserve">site-specific background </w:t>
      </w:r>
      <w:r w:rsidR="00AB0EF5">
        <w:t>calculation. In accordance with MDEQ S</w:t>
      </w:r>
      <w:r w:rsidR="00AB0EF5">
        <w:rPr>
          <w:vertAlign w:val="superscript"/>
        </w:rPr>
        <w:t>3</w:t>
      </w:r>
      <w:r w:rsidR="00AB0EF5">
        <w:t>TM guidance, the B-9 well location (located on the f</w:t>
      </w:r>
      <w:r w:rsidR="004578F6">
        <w:t>ormer</w:t>
      </w:r>
      <w:r w:rsidR="00AB0EF5">
        <w:t xml:space="preserve"> Peregrine property) does not meet the criteria for a background location.</w:t>
      </w:r>
      <w:r w:rsidR="00A814B7">
        <w:t xml:space="preserve"> </w:t>
      </w:r>
      <w:r w:rsidR="00AB0EF5">
        <w:t xml:space="preserve">Therefore, </w:t>
      </w:r>
      <w:r w:rsidR="00A814B7">
        <w:t>a</w:t>
      </w:r>
      <w:r w:rsidR="00AB0EF5">
        <w:t xml:space="preserve"> recalculat</w:t>
      </w:r>
      <w:r w:rsidR="00A814B7">
        <w:t>ion</w:t>
      </w:r>
      <w:r w:rsidR="00AB0EF5">
        <w:t xml:space="preserve"> </w:t>
      </w:r>
      <w:r w:rsidR="00A814B7">
        <w:t xml:space="preserve">of </w:t>
      </w:r>
      <w:r w:rsidR="00AB0EF5">
        <w:t>the site</w:t>
      </w:r>
      <w:r w:rsidR="00E01753">
        <w:t>-</w:t>
      </w:r>
      <w:r w:rsidR="00AB0EF5">
        <w:t xml:space="preserve">specific background for </w:t>
      </w:r>
      <w:r w:rsidR="008B6F35">
        <w:t xml:space="preserve">dissolved </w:t>
      </w:r>
      <w:r w:rsidR="00AB0EF5">
        <w:t>manganese</w:t>
      </w:r>
      <w:r w:rsidR="004578F6">
        <w:t>,</w:t>
      </w:r>
      <w:r w:rsidR="00AB0EF5">
        <w:t xml:space="preserve"> with the removal of the B-9 data and in accordance with the MDEQ request of 95% UTL with 95% coverage</w:t>
      </w:r>
      <w:r w:rsidR="004578F6">
        <w:t>,</w:t>
      </w:r>
      <w:r w:rsidR="00A814B7">
        <w:t xml:space="preserve"> was proposed to MDEQ on January 22, 2013 via email transmission</w:t>
      </w:r>
      <w:r w:rsidR="00AB0EF5">
        <w:t xml:space="preserve">. </w:t>
      </w:r>
      <w:r w:rsidR="00A814B7">
        <w:t>MDEQ approved the recalculation</w:t>
      </w:r>
      <w:r w:rsidR="004747F5">
        <w:t xml:space="preserve"> method</w:t>
      </w:r>
      <w:r w:rsidR="00A814B7">
        <w:t xml:space="preserve"> vi</w:t>
      </w:r>
      <w:r w:rsidR="004578F6">
        <w:t>a</w:t>
      </w:r>
      <w:r w:rsidR="00A814B7">
        <w:t xml:space="preserve"> email transmission on Jan</w:t>
      </w:r>
      <w:r w:rsidR="00EC7A27">
        <w:t>ua</w:t>
      </w:r>
      <w:r w:rsidR="00A814B7">
        <w:t>ry 22, 2013.</w:t>
      </w:r>
      <w:r w:rsidR="004578F6">
        <w:t xml:space="preserve"> The new background </w:t>
      </w:r>
      <w:r w:rsidR="00AB0EF5">
        <w:t>calculation using th</w:t>
      </w:r>
      <w:r w:rsidR="004578F6">
        <w:t>e</w:t>
      </w:r>
      <w:r w:rsidR="00AB0EF5">
        <w:t xml:space="preserve"> </w:t>
      </w:r>
      <w:r w:rsidR="004578F6">
        <w:t xml:space="preserve">MDEQ requested </w:t>
      </w:r>
      <w:r w:rsidR="00AB0EF5">
        <w:t xml:space="preserve">method yields a </w:t>
      </w:r>
      <w:r w:rsidR="004578F6">
        <w:t xml:space="preserve">background </w:t>
      </w:r>
      <w:r w:rsidR="00AB0EF5">
        <w:t xml:space="preserve">value of </w:t>
      </w:r>
      <w:r w:rsidR="00D300E6">
        <w:t>0</w:t>
      </w:r>
      <w:r w:rsidR="00AB0EF5">
        <w:t>.708 mg/l</w:t>
      </w:r>
      <w:r w:rsidR="004578F6">
        <w:t xml:space="preserve"> for </w:t>
      </w:r>
      <w:r w:rsidR="008B6F35">
        <w:t xml:space="preserve">dissolved </w:t>
      </w:r>
      <w:r w:rsidR="004578F6">
        <w:t>manganese at the former WWTP.</w:t>
      </w:r>
      <w:r w:rsidR="00AB0EF5">
        <w:t xml:space="preserve"> </w:t>
      </w:r>
      <w:r w:rsidR="004578F6">
        <w:t xml:space="preserve">A copy of the </w:t>
      </w:r>
      <w:proofErr w:type="spellStart"/>
      <w:r w:rsidR="004578F6">
        <w:t>ProUCL</w:t>
      </w:r>
      <w:proofErr w:type="spellEnd"/>
      <w:r w:rsidR="00422B0D">
        <w:t xml:space="preserve"> </w:t>
      </w:r>
      <w:r w:rsidR="00A606C6">
        <w:t xml:space="preserve">output </w:t>
      </w:r>
      <w:r w:rsidR="004578F6">
        <w:t xml:space="preserve">and data set used for the background calculation for </w:t>
      </w:r>
      <w:r w:rsidR="008B6F35">
        <w:t xml:space="preserve">dissolved </w:t>
      </w:r>
      <w:r w:rsidR="004578F6">
        <w:t xml:space="preserve">manganese is included in </w:t>
      </w:r>
      <w:r w:rsidR="004578F6" w:rsidRPr="00A76273">
        <w:t xml:space="preserve">Appendix </w:t>
      </w:r>
      <w:r w:rsidR="00571E74" w:rsidRPr="00A76273">
        <w:t>C</w:t>
      </w:r>
      <w:r w:rsidR="004578F6">
        <w:t xml:space="preserve">. </w:t>
      </w:r>
    </w:p>
    <w:p w:rsidR="00B02C49" w:rsidRDefault="00B02C49" w:rsidP="0093514E">
      <w:r>
        <w:t xml:space="preserve">Total manganese concentrations in groundwater will be compared to this background value due to an insufficient data set to develop a separate a background value for total manganese. MDEQ </w:t>
      </w:r>
      <w:r w:rsidRPr="00556B5D">
        <w:t>RRD O</w:t>
      </w:r>
      <w:r>
        <w:t xml:space="preserve">perational Memorandum </w:t>
      </w:r>
      <w:r w:rsidRPr="00556B5D">
        <w:t>N</w:t>
      </w:r>
      <w:r>
        <w:t>o</w:t>
      </w:r>
      <w:r w:rsidRPr="00556B5D">
        <w:t>. 2</w:t>
      </w:r>
      <w:r>
        <w:t xml:space="preserve">- Attachment 5 (Collection of Samples for Comparison to Generic Criteria) indicates groundwater inorganic constituents must be measured as totals for site investigation under Part 201. </w:t>
      </w:r>
      <w:r w:rsidRPr="00B02C49">
        <w:t>Therefore, as a conservative measure, the total manganese concentrations were compared to the dissolved manganese site-specific background values for delineation purposes</w:t>
      </w:r>
      <w:r w:rsidRPr="00B02C49">
        <w:rPr>
          <w:b/>
          <w:caps/>
        </w:rPr>
        <w:t>.</w:t>
      </w:r>
      <w:r>
        <w:t xml:space="preserve">  </w:t>
      </w:r>
    </w:p>
    <w:p w:rsidR="00AB0EF5" w:rsidRDefault="004578F6" w:rsidP="0093514E">
      <w:r>
        <w:t>This new background value will be the criterion</w:t>
      </w:r>
      <w:r w:rsidR="00A606C6">
        <w:t xml:space="preserve"> </w:t>
      </w:r>
      <w:r w:rsidR="000C43D2">
        <w:t>for</w:t>
      </w:r>
      <w:r w:rsidR="00A606C6">
        <w:t xml:space="preserve"> </w:t>
      </w:r>
      <w:r w:rsidR="008B6F35">
        <w:t xml:space="preserve">dissolved and total </w:t>
      </w:r>
      <w:r w:rsidR="00A606C6">
        <w:t xml:space="preserve">manganese in groundwater for delineating the extent </w:t>
      </w:r>
      <w:r w:rsidR="002321D3">
        <w:t xml:space="preserve">of impact </w:t>
      </w:r>
      <w:r w:rsidR="00A606C6">
        <w:t xml:space="preserve">pursuant to Part 201 regulations. </w:t>
      </w:r>
    </w:p>
    <w:p w:rsidR="007E6992" w:rsidRDefault="007E6992" w:rsidP="0093514E">
      <w:r w:rsidRPr="00B83C6E">
        <w:t xml:space="preserve">A discussion on the </w:t>
      </w:r>
      <w:r w:rsidR="009B4113">
        <w:t xml:space="preserve">groundwater </w:t>
      </w:r>
      <w:r w:rsidRPr="00B83C6E">
        <w:t>analytical results compared to the app</w:t>
      </w:r>
      <w:r w:rsidR="000C43D2">
        <w:t>licable</w:t>
      </w:r>
      <w:r w:rsidRPr="00B83C6E">
        <w:t xml:space="preserve"> criteria is included in Section 2.</w:t>
      </w:r>
    </w:p>
    <w:p w:rsidR="007E6992" w:rsidRDefault="007E6992" w:rsidP="0093514E"/>
    <w:p w:rsidR="00B83C6E" w:rsidRPr="00B83C6E" w:rsidRDefault="00B83C6E" w:rsidP="0093514E">
      <w:pPr>
        <w:pStyle w:val="Heading1"/>
      </w:pPr>
      <w:r>
        <w:br w:type="page"/>
      </w:r>
      <w:bookmarkStart w:id="50" w:name="_Toc352766944"/>
      <w:bookmarkStart w:id="51" w:name="_Toc341774519"/>
      <w:r w:rsidR="004C7216">
        <w:t xml:space="preserve">2 </w:t>
      </w:r>
      <w:r w:rsidRPr="00B83C6E">
        <w:t>Summary of Former WWTP Investigation</w:t>
      </w:r>
      <w:bookmarkEnd w:id="50"/>
      <w:r w:rsidRPr="00B83C6E">
        <w:t xml:space="preserve"> </w:t>
      </w:r>
      <w:bookmarkEnd w:id="51"/>
    </w:p>
    <w:p w:rsidR="00B83C6E" w:rsidRPr="00B83C6E" w:rsidRDefault="00B83C6E" w:rsidP="0093514E">
      <w:r w:rsidRPr="00B83C6E">
        <w:t xml:space="preserve">This section describes the methods for investigation, sample collection, results of the groundwater sampling, and analysis conducted in the vicinity of the former WWTP. Sampling and analysis was conducted in accordance with procedures outlined in the MDEQ approved PC Plan (O'Brien &amp; Gere, 2006), MDEQ-approved July 13, 2009 Work Plan for the former WWTP and February 2006 QAPP developed for the RACER Trust Coldwater Road Landfill facility. The objective of the investigation was to assess the extent of total and dissolved manganese </w:t>
      </w:r>
      <w:r w:rsidR="000C43D2">
        <w:t xml:space="preserve">in groundwater </w:t>
      </w:r>
      <w:r w:rsidRPr="00B83C6E">
        <w:t>at two off-site monitoring wells</w:t>
      </w:r>
      <w:r w:rsidR="000C43D2">
        <w:t>.</w:t>
      </w:r>
      <w:r w:rsidRPr="00B83C6E">
        <w:t xml:space="preserve"> </w:t>
      </w:r>
    </w:p>
    <w:p w:rsidR="00B83C6E" w:rsidRDefault="00B83C6E" w:rsidP="0093514E">
      <w:r w:rsidRPr="00B83C6E">
        <w:t xml:space="preserve">O'Brien &amp; Gere completed investigation of the former WWTP in a phased approach following MDEQ approval of the July 13, 2009 Work Plan. </w:t>
      </w:r>
      <w:r w:rsidR="00F8736D">
        <w:t xml:space="preserve">The </w:t>
      </w:r>
      <w:r w:rsidRPr="00B83C6E">
        <w:t xml:space="preserve">installation of monitoring wells was performed on October 10, 2011 and </w:t>
      </w:r>
      <w:r w:rsidR="004D6231">
        <w:t xml:space="preserve">two </w:t>
      </w:r>
      <w:r w:rsidRPr="00B83C6E">
        <w:t xml:space="preserve">subsequent groundwater </w:t>
      </w:r>
      <w:r w:rsidR="004D6231">
        <w:t>sampling events were</w:t>
      </w:r>
      <w:r w:rsidRPr="00B83C6E">
        <w:t xml:space="preserve"> performed on November </w:t>
      </w:r>
      <w:r w:rsidR="00D64450">
        <w:t>4</w:t>
      </w:r>
      <w:r w:rsidRPr="00B83C6E">
        <w:t>, 2011 and April 5, 2012</w:t>
      </w:r>
      <w:r w:rsidR="004D6231">
        <w:t>.</w:t>
      </w:r>
      <w:r w:rsidRPr="00B83C6E">
        <w:t xml:space="preserve"> </w:t>
      </w:r>
    </w:p>
    <w:p w:rsidR="00B83C6E" w:rsidRPr="00B83C6E" w:rsidRDefault="004C7216" w:rsidP="0093514E">
      <w:pPr>
        <w:pStyle w:val="Heading2"/>
      </w:pPr>
      <w:bookmarkStart w:id="52" w:name="_Toc341774520"/>
      <w:bookmarkStart w:id="53" w:name="_Toc352766945"/>
      <w:r>
        <w:t xml:space="preserve">2.1 </w:t>
      </w:r>
      <w:r w:rsidR="00B83C6E" w:rsidRPr="00B83C6E">
        <w:t>Monitoring Well Installation</w:t>
      </w:r>
      <w:bookmarkEnd w:id="52"/>
      <w:bookmarkEnd w:id="53"/>
    </w:p>
    <w:p w:rsidR="00B83C6E" w:rsidRPr="00B83C6E" w:rsidRDefault="00B83C6E" w:rsidP="0093514E">
      <w:r w:rsidRPr="00B83C6E">
        <w:t>Two monitoring wells (OBG MW-9 and OBG MW-10) were installed in accordance with the PC Plan and MDEQ-approved Work Plan</w:t>
      </w:r>
      <w:r w:rsidR="004D6231">
        <w:t>,</w:t>
      </w:r>
      <w:r w:rsidRPr="00B83C6E">
        <w:t xml:space="preserve"> dated July 13, 2009 at the locations depicted on Figure </w:t>
      </w:r>
      <w:r w:rsidR="001B41A8">
        <w:t>3</w:t>
      </w:r>
      <w:r w:rsidRPr="00B83C6E">
        <w:t xml:space="preserve">. The wells were installed to assess the potential extent of total and dissolved manganese in groundwater </w:t>
      </w:r>
      <w:r w:rsidR="00C505BB">
        <w:t>south of the</w:t>
      </w:r>
      <w:r w:rsidRPr="00B83C6E">
        <w:t xml:space="preserve"> former WWTP building and surrounding basins. </w:t>
      </w:r>
    </w:p>
    <w:p w:rsidR="00B83C6E" w:rsidRPr="00B83C6E" w:rsidRDefault="00B83C6E" w:rsidP="0093514E">
      <w:r w:rsidRPr="00B83C6E">
        <w:t xml:space="preserve">The </w:t>
      </w:r>
      <w:r w:rsidR="00D27F53">
        <w:t xml:space="preserve">two </w:t>
      </w:r>
      <w:r w:rsidRPr="00B83C6E">
        <w:t xml:space="preserve">wells </w:t>
      </w:r>
      <w:r w:rsidR="00D27F53">
        <w:t xml:space="preserve">were </w:t>
      </w:r>
      <w:r w:rsidRPr="00B83C6E">
        <w:t>installed to an approximate depth of 15 ft below grade (</w:t>
      </w:r>
      <w:proofErr w:type="spellStart"/>
      <w:r w:rsidRPr="00B83C6E">
        <w:t>fbg</w:t>
      </w:r>
      <w:proofErr w:type="spellEnd"/>
      <w:r w:rsidRPr="00B83C6E">
        <w:t xml:space="preserve">). This well depth was estimated based on the bottom of the former basins and basement of the former WWTP building (approximately 15 </w:t>
      </w:r>
      <w:proofErr w:type="spellStart"/>
      <w:r w:rsidRPr="00B83C6E">
        <w:t>fbg</w:t>
      </w:r>
      <w:proofErr w:type="spellEnd"/>
      <w:r w:rsidRPr="00B83C6E">
        <w:t xml:space="preserve">), the depth of previously installed groundwater monitoring wells (15 to 20 </w:t>
      </w:r>
      <w:proofErr w:type="spellStart"/>
      <w:r w:rsidRPr="00B83C6E">
        <w:t>fbg</w:t>
      </w:r>
      <w:proofErr w:type="spellEnd"/>
      <w:r w:rsidRPr="00B83C6E">
        <w:t xml:space="preserve">) and the </w:t>
      </w:r>
      <w:proofErr w:type="spellStart"/>
      <w:r w:rsidRPr="00B83C6E">
        <w:t>stratigraphy</w:t>
      </w:r>
      <w:proofErr w:type="spellEnd"/>
      <w:r w:rsidRPr="00B83C6E">
        <w:t xml:space="preserve"> (specifically the depth of water bearing units) at the new well locations.  </w:t>
      </w:r>
    </w:p>
    <w:p w:rsidR="00B83C6E" w:rsidRPr="00B83C6E" w:rsidRDefault="00B83C6E" w:rsidP="0093514E">
      <w:r w:rsidRPr="00B83C6E">
        <w:t xml:space="preserve">Prior to well installation, the drill rig and drillers' tools were decontaminated using a portable steam cleaner. Drilling and sampling was completed utilizing the hollow stem auger (HSA) drilling method. Soil samples were collected using a 5-ft </w:t>
      </w:r>
      <w:proofErr w:type="spellStart"/>
      <w:r w:rsidRPr="00B83C6E">
        <w:t>macrocore</w:t>
      </w:r>
      <w:proofErr w:type="spellEnd"/>
      <w:r w:rsidRPr="00B83C6E">
        <w:t xml:space="preserve"> split barrel through the 4.25-inch HSAs. The soils were visually logged using the USCS soil classification system. Soil boring logs are included in Appendix </w:t>
      </w:r>
      <w:r w:rsidR="00BA62A8">
        <w:t>D</w:t>
      </w:r>
      <w:r w:rsidRPr="00B83C6E">
        <w:t>. Cuttings were spread on the ground surface a</w:t>
      </w:r>
      <w:r w:rsidR="00CB691E">
        <w:t>t the Coldwater Road landfill Site</w:t>
      </w:r>
      <w:r w:rsidRPr="00B83C6E">
        <w:t>.</w:t>
      </w:r>
    </w:p>
    <w:p w:rsidR="00B83C6E" w:rsidRPr="00B83C6E" w:rsidRDefault="00B83C6E" w:rsidP="0093514E">
      <w:r w:rsidRPr="00B83C6E">
        <w:t xml:space="preserve">Monitoring wells were constructed using 2-inch diameter, flush-threaded PVC casing. The screen length for the wells was </w:t>
      </w:r>
      <w:smartTag w:uri="urn:schemas-microsoft-com:office:smarttags" w:element="metricconverter">
        <w:smartTagPr>
          <w:attr w:name="ProductID" w:val="10 ft"/>
        </w:smartTagPr>
        <w:r w:rsidRPr="00B83C6E">
          <w:t>10 ft</w:t>
        </w:r>
      </w:smartTag>
      <w:r w:rsidRPr="00B83C6E">
        <w:t xml:space="preserve"> with slot openings of </w:t>
      </w:r>
      <w:smartTag w:uri="urn:schemas-microsoft-com:office:smarttags" w:element="metricconverter">
        <w:smartTagPr>
          <w:attr w:name="ProductID" w:val="0.010 inches"/>
        </w:smartTagPr>
        <w:r w:rsidRPr="00B83C6E">
          <w:t>0.010 inches</w:t>
        </w:r>
      </w:smartTag>
      <w:r w:rsidRPr="00B83C6E">
        <w:t xml:space="preserve"> and a PVC plug on the bottom of the screen. The annular space around the screen was back-filled with silt free silica sand (WB 40 grade) to a height no more than </w:t>
      </w:r>
      <w:smartTag w:uri="urn:schemas-microsoft-com:office:smarttags" w:element="metricconverter">
        <w:smartTagPr>
          <w:attr w:name="ProductID" w:val="2 ft"/>
        </w:smartTagPr>
        <w:r w:rsidRPr="00B83C6E">
          <w:t>2 ft</w:t>
        </w:r>
      </w:smartTag>
      <w:r w:rsidRPr="00B83C6E">
        <w:t xml:space="preserve"> above the top of the screen. A minimum 2-ft thick seal of hydrated </w:t>
      </w:r>
      <w:proofErr w:type="spellStart"/>
      <w:r w:rsidRPr="00B83C6E">
        <w:t>bentonite</w:t>
      </w:r>
      <w:proofErr w:type="spellEnd"/>
      <w:r w:rsidRPr="00B83C6E">
        <w:t xml:space="preserve"> was placed above the sand pack. The remaining annular space was filled with a cement </w:t>
      </w:r>
      <w:proofErr w:type="spellStart"/>
      <w:r w:rsidRPr="00B83C6E">
        <w:t>bentonite</w:t>
      </w:r>
      <w:proofErr w:type="spellEnd"/>
      <w:r w:rsidRPr="00B83C6E">
        <w:t xml:space="preserve"> grout placed with a </w:t>
      </w:r>
      <w:proofErr w:type="spellStart"/>
      <w:r w:rsidRPr="00B83C6E">
        <w:t>tremie</w:t>
      </w:r>
      <w:proofErr w:type="spellEnd"/>
      <w:r w:rsidRPr="00B83C6E">
        <w:t xml:space="preserve"> pipe. The PVC risers were covered with a lockable, watertight PVC cap. A 4-inch diameter steel, locking, protective casing was installed at the surface with a concrete anchor and runoff diversion apron. Monitoring well construction details are included in Appendix </w:t>
      </w:r>
      <w:r w:rsidR="009B4113">
        <w:t>E</w:t>
      </w:r>
      <w:r w:rsidRPr="00B83C6E">
        <w:t>.</w:t>
      </w:r>
    </w:p>
    <w:p w:rsidR="00B83C6E" w:rsidRPr="00B83C6E" w:rsidRDefault="00B83C6E" w:rsidP="0093514E">
      <w:r w:rsidRPr="00B83C6E">
        <w:t>Once installed, the grout was allowed a minimum of 24 hours to cure, after which time the well was developed. Well development was performed using the pump and surge method. A minimum of five casing volumes were removed from the well or until the well was pumped to dryness. Development fluids were discharged to the ground surface near each well.</w:t>
      </w:r>
    </w:p>
    <w:p w:rsidR="00B83C6E" w:rsidRPr="00B83C6E" w:rsidRDefault="00B83C6E" w:rsidP="0093514E">
      <w:r w:rsidRPr="00B83C6E">
        <w:t xml:space="preserve">Subsequent to installation of the newly installed monitoring wells, the well locations were surveyed to establish top-of-casing, grade elevations, and horizontal locations referenced to existing State Plane datum. </w:t>
      </w:r>
    </w:p>
    <w:p w:rsidR="00B83C6E" w:rsidRPr="00B83C6E" w:rsidRDefault="004C7216" w:rsidP="0093514E">
      <w:pPr>
        <w:pStyle w:val="Heading2"/>
      </w:pPr>
      <w:bookmarkStart w:id="54" w:name="_Toc341774521"/>
      <w:bookmarkStart w:id="55" w:name="_Toc352766946"/>
      <w:r>
        <w:t xml:space="preserve">2.2 </w:t>
      </w:r>
      <w:r w:rsidR="00B83C6E" w:rsidRPr="00B83C6E">
        <w:t>Groundwater Sample Collection and Analysis</w:t>
      </w:r>
      <w:bookmarkEnd w:id="54"/>
      <w:bookmarkEnd w:id="55"/>
    </w:p>
    <w:p w:rsidR="00B83C6E" w:rsidRPr="00B83C6E" w:rsidRDefault="00B83C6E" w:rsidP="0093514E">
      <w:r w:rsidRPr="00B83C6E">
        <w:t>Subsequent to new well installation, groundwater samples were collected quarterly for two quarters</w:t>
      </w:r>
      <w:r w:rsidR="00F82847">
        <w:t xml:space="preserve"> (November </w:t>
      </w:r>
      <w:r w:rsidR="00751697">
        <w:t>4</w:t>
      </w:r>
      <w:r w:rsidR="00F82847">
        <w:t xml:space="preserve">, 2011 and </w:t>
      </w:r>
      <w:r w:rsidR="00751697">
        <w:t>April</w:t>
      </w:r>
      <w:r w:rsidR="002A583E">
        <w:t xml:space="preserve"> 5, 2012)</w:t>
      </w:r>
      <w:r w:rsidRPr="00B83C6E">
        <w:t xml:space="preserve"> using low-flow sampling methods per Attachment 5 of  RRD Operational Memorandum No. 2, </w:t>
      </w:r>
      <w:r w:rsidR="004F1529">
        <w:t xml:space="preserve">and </w:t>
      </w:r>
      <w:r w:rsidRPr="00B83C6E">
        <w:t xml:space="preserve">in accordance with the MDEQ-approved PC Plan and December 2006 Work Plan. Groundwater samples were collected from the two newly installed wells (OBG MW-9 and OBG MW-10) for the two quarters of sampling. </w:t>
      </w:r>
    </w:p>
    <w:p w:rsidR="00E83B86" w:rsidRDefault="00B83C6E" w:rsidP="00E83B86">
      <w:pPr>
        <w:widowControl w:val="0"/>
        <w:spacing w:after="0"/>
      </w:pPr>
      <w:r w:rsidRPr="00B83C6E">
        <w:t xml:space="preserve">Samples collected from the two newly installed wells were analyzed for total and dissolved manganese. Prior to sampling, water within the well was purged using a submersible pump with dedicated tubing and physical parameters were monitored. During purging, specific conductivity, pH and temperature measurements were recorded </w:t>
      </w:r>
      <w:r w:rsidR="00E83B86">
        <w:t xml:space="preserve">to document stable conditions. </w:t>
      </w:r>
    </w:p>
    <w:p w:rsidR="00B83C6E" w:rsidRPr="00B83C6E" w:rsidRDefault="00B83C6E" w:rsidP="00E83B86">
      <w:pPr>
        <w:widowControl w:val="0"/>
        <w:spacing w:before="240" w:after="100" w:afterAutospacing="1"/>
      </w:pPr>
      <w:r w:rsidRPr="00B83C6E">
        <w:t>Subsequent to purging and immediately upon physical parameter stabilization within 10%, a groundwater sample was collected for total manganese analysis. Samples for dissolved metals analysis were filtered through a disposable 0.45-micron filter in the field. Pre-preserved (with HNO</w:t>
      </w:r>
      <w:r w:rsidRPr="00391371">
        <w:t>3</w:t>
      </w:r>
      <w:r w:rsidRPr="00B83C6E">
        <w:t xml:space="preserve">) sample containers were provided by the laboratory for dissolved </w:t>
      </w:r>
      <w:r w:rsidR="00432B4F">
        <w:t xml:space="preserve">and total manganese </w:t>
      </w:r>
      <w:r w:rsidR="00432B4F" w:rsidRPr="00432B4F">
        <w:t>an</w:t>
      </w:r>
      <w:r w:rsidR="00432B4F">
        <w:t>a</w:t>
      </w:r>
      <w:r w:rsidR="00432B4F" w:rsidRPr="00432B4F">
        <w:t>ly</w:t>
      </w:r>
      <w:r w:rsidRPr="00432B4F">
        <w:t xml:space="preserve">sis by </w:t>
      </w:r>
      <w:r w:rsidR="00D35264">
        <w:t>M</w:t>
      </w:r>
      <w:r w:rsidRPr="00432B4F">
        <w:t>ethod 200.8</w:t>
      </w:r>
      <w:r w:rsidRPr="00B83C6E">
        <w:t xml:space="preserve">. Quality </w:t>
      </w:r>
      <w:r w:rsidR="004B41A8">
        <w:t>assurance</w:t>
      </w:r>
      <w:r w:rsidRPr="00B83C6E">
        <w:t>/</w:t>
      </w:r>
      <w:r w:rsidR="004B41A8">
        <w:t>q</w:t>
      </w:r>
      <w:r w:rsidRPr="00B83C6E">
        <w:t xml:space="preserve">uality </w:t>
      </w:r>
      <w:r w:rsidR="004B41A8">
        <w:t xml:space="preserve">control </w:t>
      </w:r>
      <w:r w:rsidRPr="00B83C6E">
        <w:t xml:space="preserve">(QA/QC) samples were collected and analyzed in accordance with the QAPP for this site. QA/QC samples included an equipment blank, field </w:t>
      </w:r>
      <w:proofErr w:type="gramStart"/>
      <w:r w:rsidRPr="00B83C6E">
        <w:t>blank,</w:t>
      </w:r>
      <w:proofErr w:type="gramEnd"/>
      <w:r w:rsidRPr="00B83C6E">
        <w:t xml:space="preserve"> replicate sample, collected sample, matrix spike, and matrix spike duplicate. A Level III data package was requested from the laboratory.</w:t>
      </w:r>
    </w:p>
    <w:p w:rsidR="00B83C6E" w:rsidRPr="00B83C6E" w:rsidRDefault="004C7216" w:rsidP="0093514E">
      <w:pPr>
        <w:pStyle w:val="Heading2"/>
      </w:pPr>
      <w:bookmarkStart w:id="56" w:name="_Toc341774522"/>
      <w:bookmarkStart w:id="57" w:name="_Toc352766947"/>
      <w:r>
        <w:t xml:space="preserve">2.3 </w:t>
      </w:r>
      <w:r w:rsidR="00B83C6E" w:rsidRPr="00B83C6E">
        <w:t>Data Validation</w:t>
      </w:r>
      <w:bookmarkEnd w:id="56"/>
      <w:bookmarkEnd w:id="57"/>
    </w:p>
    <w:p w:rsidR="00B83C6E" w:rsidRPr="00B83C6E" w:rsidRDefault="00B83C6E" w:rsidP="0093514E">
      <w:r w:rsidRPr="00B83C6E">
        <w:t>Validation of the analytical data was performed by an independent consultant utilizing the "</w:t>
      </w:r>
      <w:r w:rsidR="004B41A8">
        <w:t>USEPA</w:t>
      </w:r>
      <w:r w:rsidRPr="00B83C6E">
        <w:t xml:space="preserve"> Contract Laboratory Program </w:t>
      </w:r>
      <w:r w:rsidR="004B41A8">
        <w:t xml:space="preserve">(CLP) </w:t>
      </w:r>
      <w:r w:rsidRPr="00B83C6E">
        <w:t xml:space="preserve">National Functional Guidelines for Inorganic Data Review", </w:t>
      </w:r>
      <w:r w:rsidR="005B39F3">
        <w:t>US</w:t>
      </w:r>
      <w:r w:rsidRPr="00B83C6E">
        <w:t>EPA 540-R 04 004, October 2004 (</w:t>
      </w:r>
      <w:smartTag w:uri="urn:schemas-microsoft-com:office:smarttags" w:element="stockticker">
        <w:r w:rsidRPr="00B83C6E">
          <w:t>CLP</w:t>
        </w:r>
      </w:smartTag>
      <w:r w:rsidRPr="00B83C6E">
        <w:t xml:space="preserve"> National Functional Guidelines) and "</w:t>
      </w:r>
      <w:r w:rsidR="004B41A8">
        <w:t>USEPA</w:t>
      </w:r>
      <w:r w:rsidRPr="00B83C6E">
        <w:t xml:space="preserve"> </w:t>
      </w:r>
      <w:r w:rsidR="005C28F8">
        <w:t xml:space="preserve">CLP </w:t>
      </w:r>
      <w:r w:rsidRPr="00B83C6E">
        <w:t xml:space="preserve">National Function Guidelines for Organic Data Review", </w:t>
      </w:r>
      <w:r w:rsidR="004B41A8">
        <w:t>US</w:t>
      </w:r>
      <w:r w:rsidRPr="00B83C6E">
        <w:t xml:space="preserve">EPA-540/R-94-012 as a basis for data review establishing the specific objectives, defining the evaluation process and identifying the actions while incorporating the specific quality control limits presented in the QAPP and the laboratory </w:t>
      </w:r>
      <w:r w:rsidR="004B41A8">
        <w:t>standard operating procedures (</w:t>
      </w:r>
      <w:r w:rsidRPr="00B83C6E">
        <w:t>SOP</w:t>
      </w:r>
      <w:r w:rsidR="004B41A8">
        <w:t>)</w:t>
      </w:r>
      <w:r w:rsidRPr="00B83C6E">
        <w:t xml:space="preserve">s. The specific data qualifiers were used as presented and defined in the </w:t>
      </w:r>
      <w:smartTag w:uri="urn:schemas-microsoft-com:office:smarttags" w:element="stockticker">
        <w:r w:rsidRPr="00B83C6E">
          <w:t>CLP</w:t>
        </w:r>
      </w:smartTag>
      <w:r w:rsidRPr="00B83C6E">
        <w:t xml:space="preserve"> National Functional Guidelines. </w:t>
      </w:r>
    </w:p>
    <w:p w:rsidR="00B83C6E" w:rsidRPr="00B83C6E" w:rsidRDefault="00B83C6E" w:rsidP="0093514E">
      <w:r w:rsidRPr="00B83C6E">
        <w:t>The following deliverables were evaluated in the data validation:</w:t>
      </w:r>
    </w:p>
    <w:p w:rsidR="00B83C6E" w:rsidRPr="008E7B25" w:rsidRDefault="004B41A8" w:rsidP="008E7B25">
      <w:pPr>
        <w:pStyle w:val="List"/>
        <w:ind w:left="840" w:hanging="420"/>
      </w:pPr>
      <w:r w:rsidRPr="008E7B25">
        <w:t>Technical holding times</w:t>
      </w:r>
    </w:p>
    <w:p w:rsidR="00B83C6E" w:rsidRPr="008E7B25" w:rsidRDefault="004B41A8" w:rsidP="008E7B25">
      <w:pPr>
        <w:pStyle w:val="List"/>
        <w:ind w:left="840" w:hanging="420"/>
      </w:pPr>
      <w:r w:rsidRPr="008E7B25">
        <w:t>Gas chromatograph/Mass spectrometer (</w:t>
      </w:r>
      <w:r w:rsidR="00B83C6E" w:rsidRPr="008E7B25">
        <w:t>GC/MS</w:t>
      </w:r>
      <w:r w:rsidRPr="008E7B25">
        <w:t>)</w:t>
      </w:r>
      <w:r w:rsidR="00B83C6E" w:rsidRPr="008E7B25">
        <w:t xml:space="preserve"> instrument performanc</w:t>
      </w:r>
      <w:r w:rsidRPr="008E7B25">
        <w:t>e check (for organics analysis)</w:t>
      </w:r>
    </w:p>
    <w:p w:rsidR="00B83C6E" w:rsidRPr="008E7B25" w:rsidRDefault="004B41A8" w:rsidP="008E7B25">
      <w:pPr>
        <w:pStyle w:val="List"/>
        <w:ind w:left="840" w:hanging="420"/>
      </w:pPr>
      <w:r w:rsidRPr="008E7B25">
        <w:t>Initial calibration</w:t>
      </w:r>
    </w:p>
    <w:p w:rsidR="004B41A8" w:rsidRPr="008E7B25" w:rsidRDefault="00B83C6E" w:rsidP="008E7B25">
      <w:pPr>
        <w:pStyle w:val="List"/>
        <w:ind w:left="840" w:hanging="420"/>
      </w:pPr>
      <w:r w:rsidRPr="008E7B25">
        <w:t>Ini</w:t>
      </w:r>
      <w:r w:rsidR="004B41A8" w:rsidRPr="008E7B25">
        <w:t>tial and continuing calibration</w:t>
      </w:r>
    </w:p>
    <w:p w:rsidR="00B83C6E" w:rsidRPr="008E7B25" w:rsidRDefault="004B41A8" w:rsidP="008E7B25">
      <w:pPr>
        <w:pStyle w:val="List"/>
        <w:ind w:left="840" w:hanging="420"/>
      </w:pPr>
      <w:r w:rsidRPr="008E7B25">
        <w:t>Blanks</w:t>
      </w:r>
    </w:p>
    <w:p w:rsidR="00B83C6E" w:rsidRPr="008E7B25" w:rsidRDefault="004B41A8" w:rsidP="008E7B25">
      <w:pPr>
        <w:pStyle w:val="List"/>
        <w:ind w:left="840" w:hanging="420"/>
      </w:pPr>
      <w:r w:rsidRPr="008E7B25">
        <w:t>Interference check samples</w:t>
      </w:r>
    </w:p>
    <w:p w:rsidR="00B83C6E" w:rsidRPr="008E7B25" w:rsidRDefault="004B41A8" w:rsidP="008E7B25">
      <w:pPr>
        <w:pStyle w:val="List"/>
        <w:ind w:left="840" w:hanging="420"/>
      </w:pPr>
      <w:r w:rsidRPr="008E7B25">
        <w:t>Laboratory control samples</w:t>
      </w:r>
    </w:p>
    <w:p w:rsidR="00B83C6E" w:rsidRPr="008E7B25" w:rsidRDefault="00B83C6E" w:rsidP="008E7B25">
      <w:pPr>
        <w:pStyle w:val="List"/>
        <w:ind w:left="840" w:hanging="420"/>
      </w:pPr>
      <w:r w:rsidRPr="008E7B25">
        <w:t>M</w:t>
      </w:r>
      <w:r w:rsidR="004B41A8" w:rsidRPr="008E7B25">
        <w:t>atrix duplicate sample analysis</w:t>
      </w:r>
    </w:p>
    <w:p w:rsidR="00B83C6E" w:rsidRPr="008E7B25" w:rsidRDefault="004B41A8" w:rsidP="008E7B25">
      <w:pPr>
        <w:pStyle w:val="List"/>
        <w:ind w:left="840" w:hanging="420"/>
      </w:pPr>
      <w:r w:rsidRPr="008E7B25">
        <w:t>M</w:t>
      </w:r>
      <w:r w:rsidR="00B83C6E" w:rsidRPr="008E7B25">
        <w:t xml:space="preserve">atrix </w:t>
      </w:r>
      <w:r w:rsidRPr="008E7B25">
        <w:t>spike sample analysis</w:t>
      </w:r>
    </w:p>
    <w:p w:rsidR="00B83C6E" w:rsidRPr="008E7B25" w:rsidRDefault="004B41A8" w:rsidP="008E7B25">
      <w:pPr>
        <w:pStyle w:val="List"/>
        <w:ind w:left="840" w:hanging="420"/>
      </w:pPr>
      <w:r w:rsidRPr="008E7B25">
        <w:t>Inductively Coupled Plasma (ICP) serial dilution</w:t>
      </w:r>
    </w:p>
    <w:p w:rsidR="00B83C6E" w:rsidRPr="008E7B25" w:rsidRDefault="00B83C6E" w:rsidP="008E7B25">
      <w:pPr>
        <w:pStyle w:val="List"/>
        <w:ind w:left="840" w:hanging="420"/>
      </w:pPr>
      <w:r w:rsidRPr="008E7B25">
        <w:t>ICP/M</w:t>
      </w:r>
      <w:r w:rsidR="004B41A8" w:rsidRPr="008E7B25">
        <w:t>S internal standard performance</w:t>
      </w:r>
    </w:p>
    <w:p w:rsidR="00B83C6E" w:rsidRPr="008E7B25" w:rsidRDefault="004B41A8" w:rsidP="008E7B25">
      <w:pPr>
        <w:pStyle w:val="List"/>
        <w:ind w:left="840" w:hanging="420"/>
      </w:pPr>
      <w:r w:rsidRPr="008E7B25">
        <w:t>Sample result verification</w:t>
      </w:r>
    </w:p>
    <w:p w:rsidR="00B83C6E" w:rsidRPr="008E7B25" w:rsidRDefault="00B83C6E" w:rsidP="008E7B25">
      <w:pPr>
        <w:pStyle w:val="List"/>
        <w:ind w:left="840" w:hanging="420"/>
      </w:pPr>
      <w:r w:rsidRPr="008E7B25">
        <w:t>Field duplicates.</w:t>
      </w:r>
    </w:p>
    <w:p w:rsidR="00B83C6E" w:rsidRPr="00B83C6E" w:rsidRDefault="00B83C6E" w:rsidP="0093514E">
      <w:r w:rsidRPr="00B83C6E">
        <w:t xml:space="preserve">The Data </w:t>
      </w:r>
      <w:proofErr w:type="spellStart"/>
      <w:r w:rsidRPr="00B83C6E">
        <w:t>Validator</w:t>
      </w:r>
      <w:proofErr w:type="spellEnd"/>
      <w:r w:rsidRPr="00B83C6E">
        <w:t xml:space="preserve"> also evaluated the overall completeness of the data package. Completeness checks were administered on all data to determine whether deliverables specified in the QAPP were present. At a minimum, deliverables included sample chain of custody forms, analytical results, and QC summaries. </w:t>
      </w:r>
      <w:r w:rsidR="001B4A82">
        <w:t>D</w:t>
      </w:r>
      <w:r w:rsidRPr="00B83C6E">
        <w:t xml:space="preserve">ata validation </w:t>
      </w:r>
      <w:r w:rsidR="002777C1">
        <w:t xml:space="preserve">results </w:t>
      </w:r>
      <w:r w:rsidRPr="00B83C6E">
        <w:t>are discussed in Section 2.4.</w:t>
      </w:r>
    </w:p>
    <w:p w:rsidR="00B83C6E" w:rsidRPr="00B83C6E" w:rsidRDefault="00B36D5E" w:rsidP="0093514E">
      <w:pPr>
        <w:pStyle w:val="Heading2"/>
      </w:pPr>
      <w:bookmarkStart w:id="58" w:name="_Toc341774523"/>
      <w:bookmarkStart w:id="59" w:name="_Toc352766948"/>
      <w:r>
        <w:t xml:space="preserve">2.4 </w:t>
      </w:r>
      <w:r w:rsidR="00B83C6E" w:rsidRPr="00B83C6E">
        <w:t>Investigation Results</w:t>
      </w:r>
      <w:bookmarkEnd w:id="58"/>
      <w:bookmarkEnd w:id="59"/>
    </w:p>
    <w:p w:rsidR="00B83C6E" w:rsidRPr="00B83C6E" w:rsidRDefault="00B83C6E" w:rsidP="0093514E">
      <w:r w:rsidRPr="00B83C6E">
        <w:t xml:space="preserve">Groundwater samples were collected quarterly for two quarters using low-flow sampling methods per Attachment 5 of RRD Operational Memorandum No. </w:t>
      </w:r>
      <w:smartTag w:uri="urn:schemas-microsoft-com:office:smarttags" w:element="metricconverter">
        <w:smartTagPr>
          <w:attr w:name="ProductID" w:val="2, in"/>
        </w:smartTagPr>
        <w:r w:rsidRPr="00B83C6E">
          <w:t>2, in</w:t>
        </w:r>
      </w:smartTag>
      <w:r w:rsidRPr="00B83C6E">
        <w:t xml:space="preserve"> accordance with the MDEQ-approved PC Plan and December 2006 Work Plan. In accordance with the December 2006 Work Plan, notifications to the MDEQ were made 2 weeks prior to each groundwater sampling event via the Monthly Progress Reports submitted under the Post-Closure activities at the Site. The following discussions summarize the results of the groundwater</w:t>
      </w:r>
      <w:r w:rsidR="002A7A5F">
        <w:t xml:space="preserve"> investigation</w:t>
      </w:r>
      <w:r w:rsidRPr="00B83C6E">
        <w:t xml:space="preserve">. </w:t>
      </w:r>
    </w:p>
    <w:p w:rsidR="00B83C6E" w:rsidRPr="00B83C6E" w:rsidRDefault="00B36D5E" w:rsidP="0093514E">
      <w:pPr>
        <w:pStyle w:val="Heading3"/>
      </w:pPr>
      <w:bookmarkStart w:id="60" w:name="_Toc341774524"/>
      <w:bookmarkStart w:id="61" w:name="_Toc352766949"/>
      <w:r>
        <w:t xml:space="preserve">2.4.1 </w:t>
      </w:r>
      <w:r w:rsidR="00B83C6E" w:rsidRPr="00B83C6E">
        <w:t>Summary of Subsurface Conditions</w:t>
      </w:r>
      <w:bookmarkEnd w:id="60"/>
      <w:bookmarkEnd w:id="61"/>
      <w:r w:rsidR="00B83C6E" w:rsidRPr="00B83C6E">
        <w:t xml:space="preserve"> </w:t>
      </w:r>
    </w:p>
    <w:p w:rsidR="00B83C6E" w:rsidRPr="00B83C6E" w:rsidRDefault="00B83C6E" w:rsidP="0093514E">
      <w:r w:rsidRPr="00B83C6E">
        <w:t xml:space="preserve">This section describes the subsurface conditions observed based on the installation of the monitoring wells (shown on Figure </w:t>
      </w:r>
      <w:r w:rsidR="001B41A8">
        <w:t>3</w:t>
      </w:r>
      <w:r w:rsidRPr="00B83C6E">
        <w:t>) and previously installed borings at the former WWTP.</w:t>
      </w:r>
    </w:p>
    <w:p w:rsidR="00B83C6E" w:rsidRPr="00B83C6E" w:rsidRDefault="00B83C6E" w:rsidP="0093514E">
      <w:r w:rsidRPr="00B83C6E">
        <w:t xml:space="preserve">Generalized subsurface soil conditions at the former WWTP consist of a clay unit from the original ground surface to a depth of </w:t>
      </w:r>
      <w:smartTag w:uri="urn:schemas-microsoft-com:office:smarttags" w:element="metricconverter">
        <w:smartTagPr>
          <w:attr w:name="ProductID" w:val="30 ft"/>
        </w:smartTagPr>
        <w:r w:rsidRPr="00B83C6E">
          <w:t>30 ft</w:t>
        </w:r>
      </w:smartTag>
      <w:r w:rsidRPr="00B83C6E">
        <w:t xml:space="preserve"> below grade with sand lenses observed ranging in thickness from non-existent (OBG MW-8) to 5 ft (OBG MW-5). The elevations shown on Table 2.1 are from the 2008 Addendum Report</w:t>
      </w:r>
      <w:r w:rsidR="000916CE">
        <w:t>. T</w:t>
      </w:r>
      <w:r w:rsidRPr="00B83C6E">
        <w:t>he current investigation indicate</w:t>
      </w:r>
      <w:r w:rsidR="000916CE">
        <w:t>s that the</w:t>
      </w:r>
      <w:r w:rsidRPr="00B83C6E">
        <w:t xml:space="preserve"> sand lenses are highly variable in elevation and thickness</w:t>
      </w:r>
      <w:r w:rsidR="000916CE">
        <w:t xml:space="preserve">, </w:t>
      </w:r>
      <w:proofErr w:type="spellStart"/>
      <w:r w:rsidR="000916CE">
        <w:t>signnifying</w:t>
      </w:r>
      <w:proofErr w:type="spellEnd"/>
      <w:r w:rsidRPr="00B83C6E">
        <w:t xml:space="preserve"> a discontinuous perched zone condition at the former WWTP. </w:t>
      </w:r>
    </w:p>
    <w:p w:rsidR="00B83C6E" w:rsidRDefault="00B83C6E" w:rsidP="0093514E">
      <w:r w:rsidRPr="00B83C6E">
        <w:rPr>
          <w:b/>
        </w:rPr>
        <w:t>Table 2.1</w:t>
      </w:r>
      <w:r w:rsidRPr="00B83C6E">
        <w:t xml:space="preserve"> Sand Lens Elevations</w:t>
      </w:r>
      <w:r w:rsidR="004D6520">
        <w:t xml:space="preserve"> </w:t>
      </w:r>
      <w:r w:rsidRPr="00B83C6E">
        <w:t>(source</w:t>
      </w:r>
      <w:r w:rsidR="000916CE">
        <w:t>s</w:t>
      </w:r>
      <w:r w:rsidRPr="00B83C6E">
        <w:t xml:space="preserve"> 2008 Addendum Report and current investigation)</w:t>
      </w:r>
    </w:p>
    <w:tbl>
      <w:tblPr>
        <w:tblW w:w="0" w:type="auto"/>
        <w:tblInd w:w="29" w:type="dxa"/>
        <w:tblBorders>
          <w:bottom w:val="single" w:sz="24" w:space="0" w:color="7F7F7F"/>
        </w:tblBorders>
        <w:tblLook w:val="04A0"/>
      </w:tblPr>
      <w:tblGrid>
        <w:gridCol w:w="3427"/>
        <w:gridCol w:w="3427"/>
        <w:gridCol w:w="3427"/>
      </w:tblGrid>
      <w:tr w:rsidR="00391371" w:rsidTr="002745EE">
        <w:trPr>
          <w:tblHeader/>
        </w:trPr>
        <w:tc>
          <w:tcPr>
            <w:tcW w:w="3427" w:type="dxa"/>
            <w:tcBorders>
              <w:top w:val="nil"/>
              <w:left w:val="nil"/>
              <w:bottom w:val="single" w:sz="24" w:space="0" w:color="84AA33"/>
              <w:right w:val="nil"/>
              <w:tl2br w:val="nil"/>
              <w:tr2bl w:val="nil"/>
            </w:tcBorders>
            <w:shd w:val="clear" w:color="auto" w:fill="595959"/>
            <w:tcMar>
              <w:left w:w="115" w:type="dxa"/>
              <w:right w:w="115" w:type="dxa"/>
            </w:tcMar>
            <w:vAlign w:val="center"/>
          </w:tcPr>
          <w:p w:rsidR="00391371" w:rsidRPr="00E83B86" w:rsidRDefault="00391371" w:rsidP="00E83B86">
            <w:pPr>
              <w:spacing w:before="240"/>
              <w:rPr>
                <w:color w:val="FFFFFF" w:themeColor="background1"/>
              </w:rPr>
            </w:pPr>
            <w:r w:rsidRPr="00E83B86">
              <w:rPr>
                <w:color w:val="FFFFFF" w:themeColor="background1"/>
              </w:rPr>
              <w:t>Well Location</w:t>
            </w:r>
          </w:p>
        </w:tc>
        <w:tc>
          <w:tcPr>
            <w:tcW w:w="3427" w:type="dxa"/>
            <w:tcBorders>
              <w:bottom w:val="single" w:sz="24" w:space="0" w:color="84AA33"/>
            </w:tcBorders>
            <w:shd w:val="clear" w:color="auto" w:fill="595959"/>
            <w:tcMar>
              <w:left w:w="115" w:type="dxa"/>
              <w:right w:w="115" w:type="dxa"/>
            </w:tcMar>
            <w:vAlign w:val="center"/>
          </w:tcPr>
          <w:p w:rsidR="00391371" w:rsidRPr="00E83B86" w:rsidRDefault="00391371" w:rsidP="00E83B86">
            <w:pPr>
              <w:spacing w:before="240"/>
              <w:rPr>
                <w:color w:val="FFFFFF" w:themeColor="background1"/>
              </w:rPr>
            </w:pPr>
            <w:r w:rsidRPr="00E83B86">
              <w:rPr>
                <w:color w:val="FFFFFF" w:themeColor="background1"/>
              </w:rPr>
              <w:t>Surface Elevation (NAVD 88)</w:t>
            </w:r>
          </w:p>
        </w:tc>
        <w:tc>
          <w:tcPr>
            <w:tcW w:w="3427" w:type="dxa"/>
            <w:tcBorders>
              <w:bottom w:val="single" w:sz="24" w:space="0" w:color="84AA33"/>
            </w:tcBorders>
            <w:shd w:val="clear" w:color="auto" w:fill="595959"/>
            <w:tcMar>
              <w:left w:w="115" w:type="dxa"/>
              <w:right w:w="115" w:type="dxa"/>
            </w:tcMar>
            <w:vAlign w:val="center"/>
          </w:tcPr>
          <w:p w:rsidR="00391371" w:rsidRPr="00E83B86" w:rsidRDefault="00391371" w:rsidP="00E83B86">
            <w:pPr>
              <w:spacing w:before="240"/>
              <w:rPr>
                <w:color w:val="FFFFFF" w:themeColor="background1"/>
              </w:rPr>
            </w:pPr>
            <w:r w:rsidRPr="00E83B86">
              <w:rPr>
                <w:color w:val="FFFFFF" w:themeColor="background1"/>
              </w:rPr>
              <w:t xml:space="preserve">Observed Sand </w:t>
            </w:r>
            <w:proofErr w:type="spellStart"/>
            <w:r w:rsidRPr="00E83B86">
              <w:rPr>
                <w:color w:val="FFFFFF" w:themeColor="background1"/>
              </w:rPr>
              <w:t>Lense</w:t>
            </w:r>
            <w:proofErr w:type="spellEnd"/>
            <w:r w:rsidRPr="00E83B86">
              <w:rPr>
                <w:color w:val="FFFFFF" w:themeColor="background1"/>
              </w:rPr>
              <w:t xml:space="preserve"> Elevation</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E83B86">
            <w:pPr>
              <w:spacing w:before="240"/>
            </w:pPr>
            <w:r w:rsidRPr="002745EE">
              <w:t>OBG MW-1</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809.46’</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798.46-796.46'</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MW-2</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812.45’</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806.95-805.45' and 799.45-796.45'</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MW-3</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807.47’</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802.97-799.97'</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MW-4</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810.10’</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797.85-797.35'</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MW-5</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813.05’</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809.05-804.05'</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MW-6</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813.02’</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798.44-798.27'</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MW-7</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810.23’</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805.65-805.23' and 795.23-794.23'</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MW-8</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814.72’</w:t>
            </w:r>
          </w:p>
        </w:tc>
        <w:tc>
          <w:tcPr>
            <w:tcW w:w="3427" w:type="dxa"/>
            <w:tcBorders>
              <w:bottom w:val="single" w:sz="4" w:space="0" w:color="7F7F7F"/>
            </w:tcBorders>
            <w:shd w:val="clear" w:color="auto" w:fill="FFFFFF"/>
            <w:tcMar>
              <w:left w:w="115" w:type="dxa"/>
              <w:right w:w="115" w:type="dxa"/>
            </w:tcMar>
          </w:tcPr>
          <w:p w:rsidR="00391371" w:rsidRPr="002745EE" w:rsidRDefault="00391371" w:rsidP="0093514E">
            <w:r w:rsidRPr="002745EE">
              <w:t>no sand lens observed</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MW-9</w:t>
            </w:r>
          </w:p>
        </w:tc>
        <w:tc>
          <w:tcPr>
            <w:tcW w:w="3427" w:type="dxa"/>
            <w:tcBorders>
              <w:bottom w:val="single" w:sz="4" w:space="0" w:color="7F7F7F"/>
            </w:tcBorders>
            <w:shd w:val="clear" w:color="auto" w:fill="FFFFFF"/>
            <w:tcMar>
              <w:left w:w="115" w:type="dxa"/>
              <w:right w:w="115" w:type="dxa"/>
            </w:tcMar>
          </w:tcPr>
          <w:p w:rsidR="00391371" w:rsidRPr="00B85083" w:rsidRDefault="00BB62FF" w:rsidP="0093514E">
            <w:r w:rsidRPr="00B85083">
              <w:t>806.94’</w:t>
            </w:r>
          </w:p>
        </w:tc>
        <w:tc>
          <w:tcPr>
            <w:tcW w:w="3427" w:type="dxa"/>
            <w:tcBorders>
              <w:bottom w:val="single" w:sz="4" w:space="0" w:color="7F7F7F"/>
            </w:tcBorders>
            <w:shd w:val="clear" w:color="auto" w:fill="FFFFFF"/>
            <w:tcMar>
              <w:left w:w="115" w:type="dxa"/>
              <w:right w:w="115" w:type="dxa"/>
            </w:tcMar>
          </w:tcPr>
          <w:p w:rsidR="00391371" w:rsidRPr="00244BC6" w:rsidRDefault="00391371" w:rsidP="0093514E">
            <w:r w:rsidRPr="00244BC6">
              <w:t>800.</w:t>
            </w:r>
            <w:r w:rsidR="00244BC6" w:rsidRPr="00244BC6">
              <w:t>94</w:t>
            </w:r>
            <w:r w:rsidRPr="00244BC6">
              <w:t>’</w:t>
            </w:r>
            <w:r w:rsidR="00244BC6" w:rsidRPr="00244BC6">
              <w:t>-799.94’</w:t>
            </w:r>
          </w:p>
        </w:tc>
      </w:tr>
      <w:tr w:rsidR="00391371" w:rsidTr="002745EE">
        <w:tc>
          <w:tcPr>
            <w:tcW w:w="3427" w:type="dxa"/>
            <w:tcBorders>
              <w:bottom w:val="single" w:sz="4" w:space="0" w:color="7F7F7F"/>
            </w:tcBorders>
            <w:shd w:val="clear" w:color="auto" w:fill="F2F2F2"/>
            <w:tcMar>
              <w:left w:w="115" w:type="dxa"/>
              <w:right w:w="115" w:type="dxa"/>
            </w:tcMar>
          </w:tcPr>
          <w:p w:rsidR="00391371" w:rsidRPr="002745EE" w:rsidRDefault="00391371" w:rsidP="0093514E">
            <w:r w:rsidRPr="002745EE">
              <w:t>OBG MW-10</w:t>
            </w:r>
          </w:p>
        </w:tc>
        <w:tc>
          <w:tcPr>
            <w:tcW w:w="3427" w:type="dxa"/>
            <w:tcBorders>
              <w:bottom w:val="single" w:sz="4" w:space="0" w:color="7F7F7F"/>
            </w:tcBorders>
            <w:shd w:val="clear" w:color="auto" w:fill="FFFFFF"/>
            <w:tcMar>
              <w:left w:w="115" w:type="dxa"/>
              <w:right w:w="115" w:type="dxa"/>
            </w:tcMar>
          </w:tcPr>
          <w:p w:rsidR="00391371" w:rsidRPr="00B85083" w:rsidRDefault="00BB62FF" w:rsidP="0093514E">
            <w:r w:rsidRPr="00B85083">
              <w:t>808.70’</w:t>
            </w:r>
          </w:p>
        </w:tc>
        <w:tc>
          <w:tcPr>
            <w:tcW w:w="3427" w:type="dxa"/>
            <w:tcBorders>
              <w:bottom w:val="single" w:sz="4" w:space="0" w:color="7F7F7F"/>
            </w:tcBorders>
            <w:shd w:val="clear" w:color="auto" w:fill="FFFFFF"/>
            <w:tcMar>
              <w:left w:w="115" w:type="dxa"/>
              <w:right w:w="115" w:type="dxa"/>
            </w:tcMar>
          </w:tcPr>
          <w:p w:rsidR="00391371" w:rsidRPr="00244BC6" w:rsidRDefault="00244BC6" w:rsidP="0093514E">
            <w:r w:rsidRPr="00244BC6">
              <w:t>808.20’-796.20’</w:t>
            </w:r>
          </w:p>
        </w:tc>
      </w:tr>
    </w:tbl>
    <w:p w:rsidR="00391371" w:rsidRPr="00B83C6E" w:rsidRDefault="00391371" w:rsidP="0093514E"/>
    <w:p w:rsidR="00B83C6E" w:rsidRPr="00B83C6E" w:rsidRDefault="00391371" w:rsidP="0093514E">
      <w:r>
        <w:t>S</w:t>
      </w:r>
      <w:r w:rsidR="00B83C6E" w:rsidRPr="00B83C6E">
        <w:t xml:space="preserve">and lenses were observed in nine of the ten borings (OBG MW-1 </w:t>
      </w:r>
      <w:r w:rsidR="000F161C">
        <w:t>through</w:t>
      </w:r>
      <w:r w:rsidR="00B83C6E" w:rsidRPr="00B83C6E">
        <w:t xml:space="preserve"> OBG MW-10) completed as monitoring wells under the May 2007 investigation and the </w:t>
      </w:r>
      <w:r w:rsidR="009400EC">
        <w:t xml:space="preserve">recent </w:t>
      </w:r>
      <w:r w:rsidR="00B83C6E" w:rsidRPr="00B83C6E">
        <w:t xml:space="preserve">current investigation at the former WWTP. These locations are separated by previously installed borings in which a sand lens of the same elevation was not observed indicating the sand lenses are discontinuous in the vicinity of the former WWTP. A geologic cross section depicting the discontinuous sand lenses in the perched zone at the former WWTP area is included as Figure </w:t>
      </w:r>
      <w:r w:rsidR="00996B10">
        <w:t>4</w:t>
      </w:r>
      <w:r w:rsidR="00B83C6E" w:rsidRPr="00B83C6E">
        <w:t>.</w:t>
      </w:r>
    </w:p>
    <w:p w:rsidR="00B83C6E" w:rsidRPr="00B83C6E" w:rsidRDefault="00B83C6E" w:rsidP="0093514E">
      <w:r w:rsidRPr="00B83C6E">
        <w:t>Following demolition of the former manufacturing building, approximately 3-</w:t>
      </w:r>
      <w:smartTag w:uri="urn:schemas-microsoft-com:office:smarttags" w:element="metricconverter">
        <w:smartTagPr>
          <w:attr w:name="ProductID" w:val="4 ft"/>
        </w:smartTagPr>
        <w:r w:rsidRPr="00B83C6E">
          <w:t>4 ft</w:t>
        </w:r>
      </w:smartTag>
      <w:r w:rsidRPr="00B83C6E">
        <w:t xml:space="preserve"> of sand fill was placed over the former WWTP building and basins. </w:t>
      </w:r>
    </w:p>
    <w:p w:rsidR="00B83C6E" w:rsidRPr="00B83C6E" w:rsidRDefault="00B36D5E" w:rsidP="0093514E">
      <w:pPr>
        <w:pStyle w:val="Heading3"/>
      </w:pPr>
      <w:bookmarkStart w:id="62" w:name="_Toc341774525"/>
      <w:bookmarkStart w:id="63" w:name="_Toc352766950"/>
      <w:r>
        <w:t xml:space="preserve">2.4.2 </w:t>
      </w:r>
      <w:r w:rsidR="00B83C6E" w:rsidRPr="00B83C6E">
        <w:t>First Quarter Groundwater Sampling Results</w:t>
      </w:r>
      <w:bookmarkEnd w:id="62"/>
      <w:bookmarkEnd w:id="63"/>
    </w:p>
    <w:p w:rsidR="00B83C6E" w:rsidRPr="00B83C6E" w:rsidRDefault="00B83C6E" w:rsidP="0093514E">
      <w:r w:rsidRPr="00B83C6E">
        <w:t xml:space="preserve">Analytical results for the first quarter groundwater sampling event (November 4, 2011) indicated detections of total and dissolved manganese at OBG MW-9 of </w:t>
      </w:r>
      <w:r w:rsidR="00421A38">
        <w:t>0</w:t>
      </w:r>
      <w:r w:rsidRPr="00B83C6E">
        <w:t>.565 mg/</w:t>
      </w:r>
      <w:r w:rsidR="0068181B">
        <w:t>l</w:t>
      </w:r>
      <w:r w:rsidRPr="00B83C6E">
        <w:t xml:space="preserve"> and 0.570 mg/</w:t>
      </w:r>
      <w:r w:rsidR="0068181B">
        <w:t>l</w:t>
      </w:r>
      <w:r w:rsidR="004B41A8">
        <w:t>,</w:t>
      </w:r>
      <w:r w:rsidRPr="00B83C6E">
        <w:t xml:space="preserve"> respectively, which are below the site</w:t>
      </w:r>
      <w:r w:rsidR="00E01753">
        <w:t>-</w:t>
      </w:r>
      <w:r w:rsidRPr="00B83C6E">
        <w:t xml:space="preserve">specific background values for </w:t>
      </w:r>
      <w:r w:rsidR="00441C51">
        <w:t xml:space="preserve">dissolved </w:t>
      </w:r>
      <w:r w:rsidR="00441C51" w:rsidRPr="00B83C6E">
        <w:t xml:space="preserve"> </w:t>
      </w:r>
      <w:r w:rsidRPr="00B83C6E">
        <w:t>manganese (</w:t>
      </w:r>
      <w:r w:rsidR="00421A38">
        <w:t>0</w:t>
      </w:r>
      <w:r w:rsidR="002A0AB9">
        <w:t>.708</w:t>
      </w:r>
      <w:r w:rsidRPr="00B83C6E">
        <w:t xml:space="preserve"> mg/</w:t>
      </w:r>
      <w:r w:rsidR="0068181B">
        <w:t>l</w:t>
      </w:r>
      <w:r w:rsidRPr="00B83C6E">
        <w:t>). Also, analytical results for OBG MW-10 indicated detections of total and dissolved manganese of 3.56 mg/</w:t>
      </w:r>
      <w:r w:rsidR="0068181B">
        <w:t>l</w:t>
      </w:r>
      <w:r w:rsidRPr="00B83C6E">
        <w:t xml:space="preserve"> and 3.69 mg/</w:t>
      </w:r>
      <w:r w:rsidR="00F81917">
        <w:t>L,</w:t>
      </w:r>
      <w:r w:rsidRPr="00B83C6E">
        <w:t xml:space="preserve"> respectively, which are above Part 201 Health Based Drinking Water </w:t>
      </w:r>
      <w:r w:rsidR="00421A38">
        <w:t>C</w:t>
      </w:r>
      <w:r w:rsidRPr="00B83C6E">
        <w:t>riterion (2.50 mg/</w:t>
      </w:r>
      <w:r w:rsidR="0068181B">
        <w:t>l</w:t>
      </w:r>
      <w:r w:rsidRPr="00B83C6E">
        <w:t xml:space="preserve">). A figure depicting </w:t>
      </w:r>
      <w:proofErr w:type="spellStart"/>
      <w:r w:rsidRPr="00B83C6E">
        <w:t>exceedances</w:t>
      </w:r>
      <w:proofErr w:type="spellEnd"/>
      <w:r w:rsidRPr="00B83C6E">
        <w:t xml:space="preserve"> of </w:t>
      </w:r>
      <w:r w:rsidR="00E01753">
        <w:t>s</w:t>
      </w:r>
      <w:r w:rsidRPr="00B83C6E">
        <w:t>ite</w:t>
      </w:r>
      <w:r w:rsidR="00E01753">
        <w:t>-s</w:t>
      </w:r>
      <w:r w:rsidRPr="00B83C6E">
        <w:t xml:space="preserve">pecific </w:t>
      </w:r>
      <w:r w:rsidR="00E01753">
        <w:t>b</w:t>
      </w:r>
      <w:r w:rsidRPr="00B83C6E">
        <w:t xml:space="preserve">ackground values and/or Part 201 Non-Residential Drinking Water values for the first quarter groundwater sampling event is included as Figure </w:t>
      </w:r>
      <w:r w:rsidR="001B41A8">
        <w:t>5</w:t>
      </w:r>
      <w:r w:rsidRPr="00B83C6E">
        <w:t xml:space="preserve">. </w:t>
      </w:r>
    </w:p>
    <w:p w:rsidR="00B83C6E" w:rsidRPr="00B83C6E" w:rsidRDefault="00F81917" w:rsidP="0093514E">
      <w:r>
        <w:t>Table 1 summarizes</w:t>
      </w:r>
      <w:r w:rsidR="00B83C6E" w:rsidRPr="00B83C6E">
        <w:t xml:space="preserve"> the first quarter groundwater analytical results. </w:t>
      </w:r>
      <w:r w:rsidR="00996B10">
        <w:t xml:space="preserve">The </w:t>
      </w:r>
      <w:r w:rsidR="00996B10" w:rsidRPr="00B83C6E">
        <w:t>first quarter groundwater analytical results</w:t>
      </w:r>
      <w:r w:rsidR="00996B10">
        <w:t xml:space="preserve"> were validated and the overall data usability was found to be 100%.  </w:t>
      </w:r>
      <w:r w:rsidR="00B83C6E" w:rsidRPr="00B83C6E">
        <w:t xml:space="preserve">The data validation report (including analytical data sheets) for this sampling event is included in Appendix </w:t>
      </w:r>
      <w:r w:rsidR="002A0AB9">
        <w:t>F</w:t>
      </w:r>
      <w:r w:rsidR="00B83C6E" w:rsidRPr="00B83C6E">
        <w:t>.</w:t>
      </w:r>
    </w:p>
    <w:p w:rsidR="00B83C6E" w:rsidRPr="00B83C6E" w:rsidRDefault="00B83C6E" w:rsidP="0093514E">
      <w:r w:rsidRPr="00B83C6E">
        <w:t>Groundwater level</w:t>
      </w:r>
      <w:r w:rsidR="00421A38">
        <w:t xml:space="preserve"> data</w:t>
      </w:r>
      <w:r w:rsidRPr="00B83C6E">
        <w:t xml:space="preserve"> were collected from the wells sampled during the first quarter groundwater sampling event. A table with the water levels and groundwater elevations is included as Table 2. </w:t>
      </w:r>
    </w:p>
    <w:p w:rsidR="00B83C6E" w:rsidRPr="00B83C6E" w:rsidRDefault="00B36D5E" w:rsidP="0093514E">
      <w:pPr>
        <w:pStyle w:val="Heading3"/>
      </w:pPr>
      <w:bookmarkStart w:id="64" w:name="_Toc341774526"/>
      <w:bookmarkStart w:id="65" w:name="_Toc352766951"/>
      <w:r>
        <w:t xml:space="preserve">2.4.3 </w:t>
      </w:r>
      <w:r w:rsidR="00B83C6E" w:rsidRPr="00B83C6E">
        <w:t>Second Quarter Groundwater Sampling Results</w:t>
      </w:r>
      <w:bookmarkEnd w:id="64"/>
      <w:bookmarkEnd w:id="65"/>
    </w:p>
    <w:p w:rsidR="00B83C6E" w:rsidRPr="00B83C6E" w:rsidRDefault="00B83C6E" w:rsidP="0093514E">
      <w:r w:rsidRPr="00B83C6E">
        <w:t xml:space="preserve">Analytical results for the second quarter groundwater sampling event (April 5, 2012) indicated detections of total and dissolved manganese at OBG MW-9 of </w:t>
      </w:r>
      <w:r w:rsidR="00A75E72">
        <w:t>0</w:t>
      </w:r>
      <w:r w:rsidRPr="00B83C6E">
        <w:t>.591 mg/</w:t>
      </w:r>
      <w:r w:rsidR="0068181B">
        <w:t>l</w:t>
      </w:r>
      <w:r w:rsidRPr="00B83C6E">
        <w:t xml:space="preserve"> and 0.562 mg/</w:t>
      </w:r>
      <w:r w:rsidR="0068181B">
        <w:t>l</w:t>
      </w:r>
      <w:r w:rsidR="00F81917">
        <w:t>,</w:t>
      </w:r>
      <w:r w:rsidRPr="00B83C6E">
        <w:t xml:space="preserve"> respectively, which are below the site</w:t>
      </w:r>
      <w:r w:rsidR="00E01753">
        <w:t>-</w:t>
      </w:r>
      <w:r w:rsidRPr="00B83C6E">
        <w:t>specific background values for dissolved manganese (</w:t>
      </w:r>
      <w:r w:rsidR="00A75E72">
        <w:t>0</w:t>
      </w:r>
      <w:r w:rsidR="0013071A">
        <w:t>.708</w:t>
      </w:r>
      <w:r w:rsidRPr="00B83C6E">
        <w:t xml:space="preserve"> mg/</w:t>
      </w:r>
      <w:r w:rsidR="0068181B">
        <w:t>l</w:t>
      </w:r>
      <w:r w:rsidRPr="00B83C6E">
        <w:t>). Also, analytical results for OBG MW-10 indicated detections of total and dissolved manganese of 2.62 mg/</w:t>
      </w:r>
      <w:r w:rsidR="0068181B">
        <w:t>l</w:t>
      </w:r>
      <w:r w:rsidRPr="00B83C6E">
        <w:t xml:space="preserve"> and 2.57 mg/</w:t>
      </w:r>
      <w:r w:rsidR="0068181B">
        <w:t>l</w:t>
      </w:r>
      <w:r w:rsidR="00F81917">
        <w:t>,</w:t>
      </w:r>
      <w:r w:rsidRPr="00B83C6E">
        <w:t xml:space="preserve"> respectively, which are above Part 201 Health Based Drinking Water criterion (2.50 mg/</w:t>
      </w:r>
      <w:r w:rsidR="0068181B">
        <w:t>l</w:t>
      </w:r>
      <w:r w:rsidRPr="00B83C6E">
        <w:t xml:space="preserve">). A figure depicting </w:t>
      </w:r>
      <w:proofErr w:type="spellStart"/>
      <w:r w:rsidRPr="00B83C6E">
        <w:t>exceedances</w:t>
      </w:r>
      <w:proofErr w:type="spellEnd"/>
      <w:r w:rsidRPr="00B83C6E">
        <w:t xml:space="preserve"> of Site</w:t>
      </w:r>
      <w:r w:rsidR="00E01753">
        <w:t>-</w:t>
      </w:r>
      <w:r w:rsidRPr="00B83C6E">
        <w:t xml:space="preserve">Specific Background values and/or Part 201 Non-Residential Drinking Water values for the second quarter groundwater sampling event is included as Figure </w:t>
      </w:r>
      <w:r w:rsidR="001B41A8">
        <w:t>5</w:t>
      </w:r>
      <w:r w:rsidRPr="00B83C6E">
        <w:t>.</w:t>
      </w:r>
    </w:p>
    <w:p w:rsidR="00B83C6E" w:rsidRPr="00B83C6E" w:rsidRDefault="00F81917" w:rsidP="0093514E">
      <w:r>
        <w:t>Table 1 summarizes</w:t>
      </w:r>
      <w:r w:rsidR="00B83C6E" w:rsidRPr="00B83C6E">
        <w:t xml:space="preserve"> the second quarter</w:t>
      </w:r>
      <w:r>
        <w:t xml:space="preserve"> groundwater analytical results</w:t>
      </w:r>
      <w:r w:rsidR="00B83C6E" w:rsidRPr="00B83C6E">
        <w:t>.</w:t>
      </w:r>
      <w:r w:rsidR="00996B10" w:rsidRPr="00996B10">
        <w:t xml:space="preserve"> </w:t>
      </w:r>
      <w:r w:rsidR="00996B10">
        <w:t xml:space="preserve">The </w:t>
      </w:r>
      <w:r w:rsidR="001B41A8">
        <w:t>second</w:t>
      </w:r>
      <w:r w:rsidR="00996B10" w:rsidRPr="00B83C6E">
        <w:t xml:space="preserve"> quarter groundwater analytical results</w:t>
      </w:r>
      <w:r w:rsidR="00996B10">
        <w:t xml:space="preserve"> were validated and the overall data usability was found to be 100%. </w:t>
      </w:r>
      <w:r w:rsidR="00B83C6E" w:rsidRPr="00B83C6E">
        <w:t xml:space="preserve"> The data validation report (including analytical data sheets) for this sampling event is included in Appendix </w:t>
      </w:r>
      <w:r w:rsidR="0013071A">
        <w:t>G</w:t>
      </w:r>
      <w:r w:rsidR="00B83C6E" w:rsidRPr="00B83C6E">
        <w:t>.</w:t>
      </w:r>
    </w:p>
    <w:p w:rsidR="00B83C6E" w:rsidRPr="00B83C6E" w:rsidRDefault="00B83C6E" w:rsidP="0093514E">
      <w:r w:rsidRPr="00B83C6E">
        <w:t>Groundwater level</w:t>
      </w:r>
      <w:r w:rsidR="00A75E72">
        <w:t xml:space="preserve"> data</w:t>
      </w:r>
      <w:r w:rsidRPr="00B83C6E">
        <w:t xml:space="preserve"> were collected from the wells sampled during the second quarter groundwater sampling event. Groundwater level</w:t>
      </w:r>
      <w:r w:rsidR="00A75E72">
        <w:t xml:space="preserve"> data</w:t>
      </w:r>
      <w:r w:rsidRPr="00B83C6E">
        <w:t xml:space="preserve"> were also collected from the eight previously installed wells (OBG MW-1 through OBG MW-8) as part of the second quarter groundwater sampling event. </w:t>
      </w:r>
      <w:r w:rsidR="00F81917">
        <w:t xml:space="preserve">Table 2 lists </w:t>
      </w:r>
      <w:r w:rsidRPr="00B83C6E">
        <w:t>water le</w:t>
      </w:r>
      <w:r w:rsidR="00F81917">
        <w:t>vels and groundwater elevations</w:t>
      </w:r>
      <w:r w:rsidRPr="00B83C6E">
        <w:t xml:space="preserve">. </w:t>
      </w:r>
      <w:r w:rsidR="00F81917">
        <w:t xml:space="preserve">Figure </w:t>
      </w:r>
      <w:r w:rsidR="001B41A8">
        <w:t>6</w:t>
      </w:r>
      <w:r w:rsidR="00F81917">
        <w:t xml:space="preserve"> depicts</w:t>
      </w:r>
      <w:r w:rsidRPr="00B83C6E">
        <w:t xml:space="preserve"> the gr</w:t>
      </w:r>
      <w:r w:rsidR="00F81917">
        <w:t>oundwater elevations</w:t>
      </w:r>
      <w:r w:rsidRPr="00B83C6E">
        <w:t xml:space="preserve">. </w:t>
      </w:r>
    </w:p>
    <w:p w:rsidR="005718FC" w:rsidRPr="00B83C6E" w:rsidRDefault="005718FC" w:rsidP="0093514E">
      <w:pPr>
        <w:pStyle w:val="Heading3"/>
      </w:pPr>
      <w:bookmarkStart w:id="66" w:name="_Toc352766952"/>
      <w:r>
        <w:t>2.4.4 Site</w:t>
      </w:r>
      <w:r w:rsidR="00E01753">
        <w:t>-</w:t>
      </w:r>
      <w:r>
        <w:t>Specific Backgr</w:t>
      </w:r>
      <w:r w:rsidR="00D35769">
        <w:t>o</w:t>
      </w:r>
      <w:r>
        <w:t>und Value for Manganese</w:t>
      </w:r>
      <w:bookmarkEnd w:id="66"/>
      <w:r>
        <w:t xml:space="preserve"> </w:t>
      </w:r>
    </w:p>
    <w:p w:rsidR="008E0952" w:rsidRDefault="00F11E1F" w:rsidP="0093514E">
      <w:r>
        <w:t xml:space="preserve">As noted in </w:t>
      </w:r>
      <w:r w:rsidR="007707DE" w:rsidRPr="00B83C6E">
        <w:t xml:space="preserve">Section </w:t>
      </w:r>
      <w:r>
        <w:t xml:space="preserve">1.5 of this </w:t>
      </w:r>
      <w:r w:rsidR="00B1024F">
        <w:t>Report</w:t>
      </w:r>
      <w:r>
        <w:t xml:space="preserve">, </w:t>
      </w:r>
      <w:r w:rsidR="00570DDE">
        <w:t>a new site</w:t>
      </w:r>
      <w:r w:rsidR="0013071A">
        <w:t>-</w:t>
      </w:r>
      <w:r w:rsidR="00570DDE">
        <w:t>specific background value for manganese was calculated in accordance with MDEQ</w:t>
      </w:r>
      <w:r w:rsidR="0020454F">
        <w:t>’s</w:t>
      </w:r>
      <w:r w:rsidR="00570DDE">
        <w:t xml:space="preserve"> request of 95% UTL with 95% coverage using the </w:t>
      </w:r>
      <w:proofErr w:type="spellStart"/>
      <w:r w:rsidR="00570DDE">
        <w:t>ProUCL</w:t>
      </w:r>
      <w:proofErr w:type="spellEnd"/>
      <w:r w:rsidR="00422B0D">
        <w:t xml:space="preserve"> </w:t>
      </w:r>
      <w:r w:rsidR="00570DDE">
        <w:t xml:space="preserve">program with the removal of the B-9 </w:t>
      </w:r>
      <w:r w:rsidR="00BB49C3">
        <w:t xml:space="preserve">well </w:t>
      </w:r>
      <w:r w:rsidR="00570DDE">
        <w:t xml:space="preserve">data. The new background calculation using the MDEQ requested method yields a background value of </w:t>
      </w:r>
      <w:r w:rsidR="0039638D">
        <w:t>0</w:t>
      </w:r>
      <w:r w:rsidR="00570DDE">
        <w:t xml:space="preserve">.708 mg/l for </w:t>
      </w:r>
      <w:r w:rsidR="0013071A">
        <w:t xml:space="preserve">dissolved </w:t>
      </w:r>
      <w:r w:rsidR="00570DDE">
        <w:t xml:space="preserve">manganese at the former WWTP. A copy of the </w:t>
      </w:r>
      <w:proofErr w:type="spellStart"/>
      <w:r w:rsidR="00570DDE">
        <w:t>ProUCL</w:t>
      </w:r>
      <w:proofErr w:type="spellEnd"/>
      <w:r w:rsidR="00570DDE">
        <w:t xml:space="preserve"> output and data set used for the background calculation for </w:t>
      </w:r>
      <w:r w:rsidR="0013071A">
        <w:t xml:space="preserve">dissolved </w:t>
      </w:r>
      <w:r w:rsidR="00570DDE">
        <w:t xml:space="preserve">manganese is included in </w:t>
      </w:r>
      <w:r w:rsidR="00570DDE" w:rsidRPr="00543B32">
        <w:t xml:space="preserve">Appendix </w:t>
      </w:r>
      <w:r w:rsidR="0013071A" w:rsidRPr="00543B32">
        <w:t>C</w:t>
      </w:r>
      <w:r w:rsidR="00570DDE">
        <w:t xml:space="preserve">. This new background value </w:t>
      </w:r>
      <w:r w:rsidR="009F20E3">
        <w:t>is</w:t>
      </w:r>
      <w:r w:rsidR="00570DDE">
        <w:t xml:space="preserve"> the criterion in which the concentrations of </w:t>
      </w:r>
      <w:r w:rsidR="0013071A">
        <w:t xml:space="preserve">dissolved and total </w:t>
      </w:r>
      <w:r w:rsidR="00570DDE">
        <w:t xml:space="preserve">manganese detected in groundwater will be compared to for delineating the extent of </w:t>
      </w:r>
      <w:r w:rsidR="00AE3064">
        <w:t xml:space="preserve">manganese </w:t>
      </w:r>
      <w:r w:rsidR="00570DDE">
        <w:t>impact at the former WWTP pursuant to Part 201 regulations.</w:t>
      </w:r>
      <w:r w:rsidR="004C2C27">
        <w:t xml:space="preserve"> Total </w:t>
      </w:r>
      <w:r w:rsidR="0039638D">
        <w:t xml:space="preserve">recoverable </w:t>
      </w:r>
      <w:r w:rsidR="004C2C27">
        <w:t xml:space="preserve">manganese concentrations </w:t>
      </w:r>
      <w:r w:rsidR="002F4738">
        <w:t xml:space="preserve">in groundwater </w:t>
      </w:r>
      <w:r w:rsidR="004C2C27">
        <w:t>will be compared to this background value due to an insufficient data set to develop a separate background value</w:t>
      </w:r>
      <w:r w:rsidR="002F4738">
        <w:t xml:space="preserve"> for total manganese. </w:t>
      </w:r>
      <w:r w:rsidR="00556B5D">
        <w:t xml:space="preserve">MDEQ </w:t>
      </w:r>
      <w:r w:rsidR="00556B5D" w:rsidRPr="00556B5D">
        <w:t>RRD O</w:t>
      </w:r>
      <w:r w:rsidR="002053AF">
        <w:t xml:space="preserve">perational Memorandum </w:t>
      </w:r>
      <w:r w:rsidR="00556B5D" w:rsidRPr="00556B5D">
        <w:t>N</w:t>
      </w:r>
      <w:r w:rsidR="002053AF">
        <w:t>o</w:t>
      </w:r>
      <w:r w:rsidR="00556B5D" w:rsidRPr="00556B5D">
        <w:t>. 2</w:t>
      </w:r>
      <w:r w:rsidR="002053AF">
        <w:t>- Attachment 5 (Collection of Samples for Comparison to Generic Criteria) indicates groundwater inorganic constituents must be measured as totals for site investigation under Part 201. Therefore, as a conservative measure, the total manganese concentrations w</w:t>
      </w:r>
      <w:r w:rsidR="00A0386C">
        <w:t>ill be</w:t>
      </w:r>
      <w:r w:rsidR="002053AF">
        <w:t xml:space="preserve"> compared to the dissolved manganese site-specific background values</w:t>
      </w:r>
      <w:r w:rsidR="005D0512">
        <w:t xml:space="preserve"> for delineation purposes</w:t>
      </w:r>
      <w:r w:rsidR="002053AF">
        <w:t xml:space="preserve">.  </w:t>
      </w:r>
    </w:p>
    <w:p w:rsidR="00CB7658" w:rsidRDefault="00793A32" w:rsidP="0093514E">
      <w:r>
        <w:t>G</w:t>
      </w:r>
      <w:r w:rsidR="00CB7658">
        <w:t xml:space="preserve">roundwater analytical results </w:t>
      </w:r>
      <w:r>
        <w:t>from</w:t>
      </w:r>
      <w:r w:rsidR="00CB7658">
        <w:t xml:space="preserve"> two quarters of groundwater sampling, along with previous groundwater analytical results, document that the manganese impact at the former WWTP has been assessed to the </w:t>
      </w:r>
      <w:r>
        <w:t xml:space="preserve">newly developed </w:t>
      </w:r>
      <w:r w:rsidR="00CB7658">
        <w:t xml:space="preserve">site-specific background value. Figure </w:t>
      </w:r>
      <w:r w:rsidR="002F4738">
        <w:t>7</w:t>
      </w:r>
      <w:r w:rsidR="00CB7658">
        <w:t xml:space="preserve"> depicts the </w:t>
      </w:r>
      <w:r w:rsidR="00D92C03">
        <w:t xml:space="preserve">highest </w:t>
      </w:r>
      <w:r w:rsidR="00CB7658">
        <w:t xml:space="preserve">concentrations of </w:t>
      </w:r>
      <w:r w:rsidR="005D0512">
        <w:t xml:space="preserve">total and dissolved </w:t>
      </w:r>
      <w:r w:rsidR="00CB7658">
        <w:t>manganese</w:t>
      </w:r>
      <w:r w:rsidR="005D0512">
        <w:t xml:space="preserve"> concentrations</w:t>
      </w:r>
      <w:r w:rsidR="00CB7658">
        <w:t xml:space="preserve"> detected in groundwater at the former WWTP and </w:t>
      </w:r>
      <w:r w:rsidR="00CC0007">
        <w:t>the well locations (</w:t>
      </w:r>
      <w:r w:rsidR="005D0512">
        <w:t>OBG MW-4, OBG MW-5, OBG MW-6, OBG MW-7 and OBG MW-9</w:t>
      </w:r>
      <w:r w:rsidR="00CC0007">
        <w:t xml:space="preserve">) which delineate the manganese impact at the former WWTP. </w:t>
      </w:r>
      <w:r w:rsidR="00CB7658">
        <w:t xml:space="preserve"> </w:t>
      </w:r>
      <w:r w:rsidR="00CC0007">
        <w:t xml:space="preserve"> </w:t>
      </w:r>
      <w:r w:rsidR="00CB7658">
        <w:t xml:space="preserve"> </w:t>
      </w:r>
    </w:p>
    <w:p w:rsidR="00570DDE" w:rsidRDefault="00570DDE" w:rsidP="0093514E"/>
    <w:p w:rsidR="00B83C6E" w:rsidRPr="00B83C6E" w:rsidRDefault="00B36D5E" w:rsidP="0093514E">
      <w:pPr>
        <w:pStyle w:val="Heading1"/>
      </w:pPr>
      <w:bookmarkStart w:id="67" w:name="_Toc341774527"/>
      <w:bookmarkStart w:id="68" w:name="_Toc352766953"/>
      <w:r>
        <w:t xml:space="preserve">3 </w:t>
      </w:r>
      <w:r w:rsidR="00B83C6E" w:rsidRPr="00B83C6E">
        <w:t>Migration Pathway Evaluation</w:t>
      </w:r>
      <w:bookmarkEnd w:id="67"/>
      <w:bookmarkEnd w:id="68"/>
    </w:p>
    <w:p w:rsidR="00B83C6E" w:rsidRPr="00B83C6E" w:rsidRDefault="00B83C6E" w:rsidP="0093514E">
      <w:r w:rsidRPr="00B83C6E">
        <w:t>Based on the benzene, 1</w:t>
      </w:r>
      <w:proofErr w:type="gramStart"/>
      <w:r w:rsidRPr="00B83C6E">
        <w:t>,2,4</w:t>
      </w:r>
      <w:proofErr w:type="gramEnd"/>
      <w:r w:rsidRPr="00B83C6E">
        <w:t xml:space="preserve">-trimethylbenzene, </w:t>
      </w:r>
      <w:proofErr w:type="spellStart"/>
      <w:r w:rsidRPr="00B83C6E">
        <w:t>trichloroethene</w:t>
      </w:r>
      <w:proofErr w:type="spellEnd"/>
      <w:r w:rsidRPr="00B83C6E">
        <w:t xml:space="preserve">, nickel and cyanide </w:t>
      </w:r>
      <w:proofErr w:type="spellStart"/>
      <w:r w:rsidRPr="00B83C6E">
        <w:t>exceed</w:t>
      </w:r>
      <w:r w:rsidR="009B518B">
        <w:t>ances</w:t>
      </w:r>
      <w:proofErr w:type="spellEnd"/>
      <w:r w:rsidR="009B518B">
        <w:t xml:space="preserve"> of </w:t>
      </w:r>
      <w:r w:rsidRPr="00B83C6E">
        <w:t xml:space="preserve">the MDEQ Part 201 Generic Non-Residential Drinking Water Protection Criteria and the arsenic, iron, lead, manganese and cyanide </w:t>
      </w:r>
      <w:proofErr w:type="spellStart"/>
      <w:r w:rsidR="009B518B">
        <w:t>exceedances</w:t>
      </w:r>
      <w:proofErr w:type="spellEnd"/>
      <w:r w:rsidR="009B518B">
        <w:t xml:space="preserve"> of the</w:t>
      </w:r>
      <w:r w:rsidRPr="00B83C6E">
        <w:t xml:space="preserve"> Part 201 Generic Non-Residential Drinking Water </w:t>
      </w:r>
      <w:r w:rsidR="009B518B">
        <w:t>C</w:t>
      </w:r>
      <w:r w:rsidRPr="00B83C6E">
        <w:t>riteria, a migration pathway analysis was performed.</w:t>
      </w:r>
    </w:p>
    <w:p w:rsidR="00B83C6E" w:rsidRDefault="00B83C6E" w:rsidP="0093514E">
      <w:r w:rsidRPr="00B83C6E">
        <w:t>In accordance with the NREPA, 1994 PA 451, as amended Part 201 (Environmental Remediation), Mich. Admin. Code Rule 299, compliance for Generic site closures are attained when chemical concentrations in soil and groundwater are below applicable values for migration pathways pertinent to the site. The following sections summarize pertinent migration pathways at the former WWTP. The COCs (defined as those compounds above appropriate Part 201 Generic Residential criteria) at the former WWTP are:</w:t>
      </w:r>
    </w:p>
    <w:tbl>
      <w:tblPr>
        <w:tblW w:w="0" w:type="auto"/>
        <w:tblInd w:w="1105" w:type="dxa"/>
        <w:tblBorders>
          <w:bottom w:val="single" w:sz="24" w:space="0" w:color="7F7F7F"/>
        </w:tblBorders>
        <w:tblLook w:val="04A0"/>
      </w:tblPr>
      <w:tblGrid>
        <w:gridCol w:w="3420"/>
        <w:gridCol w:w="3150"/>
      </w:tblGrid>
      <w:tr w:rsidR="00391371" w:rsidRPr="002745EE" w:rsidTr="002745EE">
        <w:trPr>
          <w:tblHeader/>
        </w:trPr>
        <w:tc>
          <w:tcPr>
            <w:tcW w:w="3420" w:type="dxa"/>
            <w:tcBorders>
              <w:top w:val="nil"/>
              <w:left w:val="nil"/>
              <w:bottom w:val="single" w:sz="24" w:space="0" w:color="84AA33"/>
              <w:right w:val="nil"/>
              <w:tl2br w:val="nil"/>
              <w:tr2bl w:val="nil"/>
            </w:tcBorders>
            <w:shd w:val="clear" w:color="auto" w:fill="595959"/>
            <w:tcMar>
              <w:left w:w="115" w:type="dxa"/>
              <w:right w:w="115" w:type="dxa"/>
            </w:tcMar>
            <w:vAlign w:val="center"/>
          </w:tcPr>
          <w:p w:rsidR="00391371" w:rsidRPr="00E83B86" w:rsidRDefault="00391371" w:rsidP="00E83B86">
            <w:pPr>
              <w:spacing w:before="240"/>
              <w:rPr>
                <w:color w:val="FFFFFF" w:themeColor="background1"/>
              </w:rPr>
            </w:pPr>
            <w:r w:rsidRPr="00E83B86">
              <w:rPr>
                <w:color w:val="FFFFFF" w:themeColor="background1"/>
              </w:rPr>
              <w:t>Soil</w:t>
            </w:r>
          </w:p>
        </w:tc>
        <w:tc>
          <w:tcPr>
            <w:tcW w:w="3150" w:type="dxa"/>
            <w:tcBorders>
              <w:bottom w:val="single" w:sz="24" w:space="0" w:color="84AA33"/>
            </w:tcBorders>
            <w:shd w:val="clear" w:color="auto" w:fill="595959"/>
            <w:tcMar>
              <w:left w:w="115" w:type="dxa"/>
              <w:right w:w="115" w:type="dxa"/>
            </w:tcMar>
            <w:vAlign w:val="center"/>
          </w:tcPr>
          <w:p w:rsidR="00391371" w:rsidRPr="00E83B86" w:rsidRDefault="00391371" w:rsidP="00E83B86">
            <w:pPr>
              <w:spacing w:before="240"/>
              <w:rPr>
                <w:color w:val="FFFFFF" w:themeColor="background1"/>
              </w:rPr>
            </w:pPr>
            <w:r w:rsidRPr="00E83B86">
              <w:rPr>
                <w:color w:val="FFFFFF" w:themeColor="background1"/>
              </w:rPr>
              <w:t>Groundwater</w:t>
            </w:r>
          </w:p>
        </w:tc>
      </w:tr>
      <w:tr w:rsidR="00391371" w:rsidRPr="002745EE" w:rsidTr="002745EE">
        <w:tc>
          <w:tcPr>
            <w:tcW w:w="3420" w:type="dxa"/>
            <w:tcBorders>
              <w:top w:val="single" w:sz="24" w:space="0" w:color="84AA33"/>
              <w:bottom w:val="single" w:sz="4" w:space="0" w:color="7F7F7F"/>
            </w:tcBorders>
            <w:shd w:val="clear" w:color="auto" w:fill="auto"/>
            <w:tcMar>
              <w:left w:w="115" w:type="dxa"/>
              <w:right w:w="115" w:type="dxa"/>
            </w:tcMar>
            <w:vAlign w:val="center"/>
          </w:tcPr>
          <w:p w:rsidR="00391371" w:rsidRPr="00696DD4" w:rsidRDefault="008C6D41" w:rsidP="00E83B86">
            <w:pPr>
              <w:spacing w:before="240"/>
            </w:pPr>
            <w:r w:rsidRPr="008C6D41">
              <w:t>Benzene</w:t>
            </w:r>
          </w:p>
        </w:tc>
        <w:tc>
          <w:tcPr>
            <w:tcW w:w="3150" w:type="dxa"/>
            <w:tcBorders>
              <w:bottom w:val="single" w:sz="4" w:space="0" w:color="7F7F7F"/>
            </w:tcBorders>
            <w:shd w:val="clear" w:color="auto" w:fill="FFFFFF"/>
            <w:tcMar>
              <w:left w:w="115" w:type="dxa"/>
              <w:right w:w="115" w:type="dxa"/>
            </w:tcMar>
            <w:vAlign w:val="center"/>
          </w:tcPr>
          <w:p w:rsidR="00391371" w:rsidRPr="002745EE" w:rsidRDefault="00A02AC1" w:rsidP="0093514E">
            <w:r w:rsidRPr="002745EE">
              <w:t>Arsenic</w:t>
            </w:r>
          </w:p>
        </w:tc>
      </w:tr>
      <w:tr w:rsidR="00391371" w:rsidRPr="002745EE" w:rsidTr="002745EE">
        <w:tc>
          <w:tcPr>
            <w:tcW w:w="3420" w:type="dxa"/>
            <w:tcBorders>
              <w:top w:val="single" w:sz="4" w:space="0" w:color="7F7F7F"/>
              <w:bottom w:val="single" w:sz="4" w:space="0" w:color="7F7F7F"/>
            </w:tcBorders>
            <w:shd w:val="clear" w:color="auto" w:fill="auto"/>
            <w:tcMar>
              <w:left w:w="115" w:type="dxa"/>
              <w:right w:w="115" w:type="dxa"/>
            </w:tcMar>
            <w:vAlign w:val="center"/>
          </w:tcPr>
          <w:p w:rsidR="00391371" w:rsidRPr="00696DD4" w:rsidRDefault="008C6D41" w:rsidP="0093514E">
            <w:r w:rsidRPr="008C6D41">
              <w:t>Cyanide</w:t>
            </w:r>
          </w:p>
        </w:tc>
        <w:tc>
          <w:tcPr>
            <w:tcW w:w="3150" w:type="dxa"/>
            <w:tcBorders>
              <w:bottom w:val="single" w:sz="4" w:space="0" w:color="7F7F7F"/>
            </w:tcBorders>
            <w:shd w:val="clear" w:color="auto" w:fill="FFFFFF"/>
            <w:tcMar>
              <w:left w:w="115" w:type="dxa"/>
              <w:right w:w="115" w:type="dxa"/>
            </w:tcMar>
            <w:vAlign w:val="center"/>
          </w:tcPr>
          <w:p w:rsidR="00391371" w:rsidRPr="002745EE" w:rsidRDefault="00A02AC1" w:rsidP="0093514E">
            <w:r w:rsidRPr="002745EE">
              <w:t>Cyanide</w:t>
            </w:r>
          </w:p>
        </w:tc>
      </w:tr>
      <w:tr w:rsidR="00391371" w:rsidRPr="002745EE" w:rsidTr="002745EE">
        <w:tc>
          <w:tcPr>
            <w:tcW w:w="3420" w:type="dxa"/>
            <w:tcBorders>
              <w:top w:val="single" w:sz="4" w:space="0" w:color="7F7F7F"/>
              <w:bottom w:val="single" w:sz="4" w:space="0" w:color="7F7F7F"/>
            </w:tcBorders>
            <w:shd w:val="clear" w:color="auto" w:fill="auto"/>
            <w:tcMar>
              <w:left w:w="115" w:type="dxa"/>
              <w:right w:w="115" w:type="dxa"/>
            </w:tcMar>
            <w:vAlign w:val="center"/>
          </w:tcPr>
          <w:p w:rsidR="00391371" w:rsidRPr="00696DD4" w:rsidRDefault="008C6D41" w:rsidP="0093514E">
            <w:r w:rsidRPr="008C6D41">
              <w:t>Nickel</w:t>
            </w:r>
          </w:p>
        </w:tc>
        <w:tc>
          <w:tcPr>
            <w:tcW w:w="3150" w:type="dxa"/>
            <w:tcBorders>
              <w:bottom w:val="single" w:sz="4" w:space="0" w:color="7F7F7F"/>
            </w:tcBorders>
            <w:shd w:val="clear" w:color="auto" w:fill="FFFFFF"/>
            <w:tcMar>
              <w:left w:w="115" w:type="dxa"/>
              <w:right w:w="115" w:type="dxa"/>
            </w:tcMar>
            <w:vAlign w:val="center"/>
          </w:tcPr>
          <w:p w:rsidR="00391371" w:rsidRPr="002745EE" w:rsidRDefault="00A02AC1" w:rsidP="0093514E">
            <w:r w:rsidRPr="002745EE">
              <w:t>Lead</w:t>
            </w:r>
          </w:p>
        </w:tc>
      </w:tr>
      <w:tr w:rsidR="00391371" w:rsidRPr="002745EE" w:rsidTr="002745EE">
        <w:tc>
          <w:tcPr>
            <w:tcW w:w="3420" w:type="dxa"/>
            <w:tcBorders>
              <w:top w:val="single" w:sz="4" w:space="0" w:color="7F7F7F"/>
              <w:bottom w:val="single" w:sz="4" w:space="0" w:color="7F7F7F"/>
            </w:tcBorders>
            <w:shd w:val="clear" w:color="auto" w:fill="auto"/>
            <w:tcMar>
              <w:left w:w="115" w:type="dxa"/>
              <w:right w:w="115" w:type="dxa"/>
            </w:tcMar>
            <w:vAlign w:val="center"/>
          </w:tcPr>
          <w:p w:rsidR="00391371" w:rsidRPr="00696DD4" w:rsidRDefault="008C6D41" w:rsidP="0093514E">
            <w:r w:rsidRPr="008C6D41">
              <w:t>1,2,4- trimethylbenzene</w:t>
            </w:r>
          </w:p>
        </w:tc>
        <w:tc>
          <w:tcPr>
            <w:tcW w:w="3150" w:type="dxa"/>
            <w:tcBorders>
              <w:bottom w:val="single" w:sz="4" w:space="0" w:color="7F7F7F"/>
            </w:tcBorders>
            <w:shd w:val="clear" w:color="auto" w:fill="FFFFFF"/>
            <w:tcMar>
              <w:left w:w="115" w:type="dxa"/>
              <w:right w:w="115" w:type="dxa"/>
            </w:tcMar>
            <w:vAlign w:val="center"/>
          </w:tcPr>
          <w:p w:rsidR="00391371" w:rsidRPr="002745EE" w:rsidRDefault="00A02AC1" w:rsidP="0093514E">
            <w:r w:rsidRPr="002745EE">
              <w:t>Iron</w:t>
            </w:r>
          </w:p>
        </w:tc>
      </w:tr>
      <w:tr w:rsidR="00391371" w:rsidRPr="002745EE" w:rsidTr="002745EE">
        <w:tc>
          <w:tcPr>
            <w:tcW w:w="3420" w:type="dxa"/>
            <w:tcBorders>
              <w:top w:val="single" w:sz="4" w:space="0" w:color="7F7F7F"/>
              <w:bottom w:val="single" w:sz="4" w:space="0" w:color="7F7F7F"/>
            </w:tcBorders>
            <w:shd w:val="clear" w:color="auto" w:fill="auto"/>
            <w:tcMar>
              <w:left w:w="115" w:type="dxa"/>
              <w:right w:w="115" w:type="dxa"/>
            </w:tcMar>
            <w:vAlign w:val="center"/>
          </w:tcPr>
          <w:p w:rsidR="00391371" w:rsidRPr="00696DD4" w:rsidRDefault="008C6D41" w:rsidP="0093514E">
            <w:proofErr w:type="spellStart"/>
            <w:r w:rsidRPr="008C6D41">
              <w:t>Trichloroethene</w:t>
            </w:r>
            <w:proofErr w:type="spellEnd"/>
          </w:p>
        </w:tc>
        <w:tc>
          <w:tcPr>
            <w:tcW w:w="3150" w:type="dxa"/>
            <w:tcBorders>
              <w:bottom w:val="single" w:sz="4" w:space="0" w:color="7F7F7F"/>
            </w:tcBorders>
            <w:shd w:val="clear" w:color="auto" w:fill="FFFFFF"/>
            <w:tcMar>
              <w:left w:w="115" w:type="dxa"/>
              <w:right w:w="115" w:type="dxa"/>
            </w:tcMar>
            <w:vAlign w:val="center"/>
          </w:tcPr>
          <w:p w:rsidR="00391371" w:rsidRPr="002745EE" w:rsidRDefault="00A02AC1" w:rsidP="0093514E">
            <w:r w:rsidRPr="002745EE">
              <w:t>Manganese</w:t>
            </w:r>
          </w:p>
        </w:tc>
      </w:tr>
    </w:tbl>
    <w:p w:rsidR="00391371" w:rsidRPr="00B83C6E" w:rsidRDefault="00391371" w:rsidP="0093514E"/>
    <w:p w:rsidR="00B83C6E" w:rsidRPr="00B83C6E" w:rsidRDefault="00B36D5E" w:rsidP="0093514E">
      <w:pPr>
        <w:pStyle w:val="Heading2"/>
      </w:pPr>
      <w:bookmarkStart w:id="69" w:name="_Toc341774528"/>
      <w:bookmarkStart w:id="70" w:name="_Toc352766954"/>
      <w:r>
        <w:t xml:space="preserve">3.1 </w:t>
      </w:r>
      <w:r w:rsidR="00B83C6E" w:rsidRPr="00B83C6E">
        <w:t>Migration Pathway Evaluation</w:t>
      </w:r>
      <w:bookmarkEnd w:id="69"/>
      <w:bookmarkEnd w:id="70"/>
    </w:p>
    <w:p w:rsidR="00B83C6E" w:rsidRPr="00B83C6E" w:rsidRDefault="00DE37E7" w:rsidP="0093514E">
      <w:r>
        <w:t>T</w:t>
      </w:r>
      <w:r w:rsidR="00B83C6E" w:rsidRPr="00B83C6E">
        <w:t>he migration pathway</w:t>
      </w:r>
      <w:r>
        <w:t>s</w:t>
      </w:r>
      <w:r w:rsidR="00B83C6E" w:rsidRPr="00B83C6E">
        <w:t xml:space="preserve"> applicable to soil impact at the </w:t>
      </w:r>
      <w:r w:rsidR="009C2CC2">
        <w:t>f</w:t>
      </w:r>
      <w:r w:rsidR="00B83C6E" w:rsidRPr="00B83C6E">
        <w:t>ormer WWTP were addressed in the November 2000 Basin Investigation Report; the migration pathways applicable to groundwater impacts for arsenic, cyanide, and lead, were addressed in the 2008 Addendum Report; and delineation of iron in groundwater was addressed in the July 13, 2009 response to comments</w:t>
      </w:r>
      <w:r w:rsidR="00377F80">
        <w:t xml:space="preserve">. </w:t>
      </w:r>
      <w:r>
        <w:t>Therefore, t</w:t>
      </w:r>
      <w:r w:rsidR="00B83C6E" w:rsidRPr="00B83C6E">
        <w:t xml:space="preserve">he following evaluation addresses the pertinent groundwater </w:t>
      </w:r>
      <w:r w:rsidR="00377F80">
        <w:t xml:space="preserve">remaining </w:t>
      </w:r>
      <w:r w:rsidR="00B83C6E" w:rsidRPr="00B83C6E">
        <w:t>migration pathways for manganese.</w:t>
      </w:r>
    </w:p>
    <w:p w:rsidR="00B83C6E" w:rsidRPr="00B83C6E" w:rsidRDefault="00B83C6E" w:rsidP="0093514E">
      <w:r w:rsidRPr="00B83C6E">
        <w:t>The pertinent migration pathways associated with the former WWTP are:</w:t>
      </w:r>
    </w:p>
    <w:p w:rsidR="00B83C6E" w:rsidRPr="00B83C6E" w:rsidRDefault="00B83C6E" w:rsidP="0093514E">
      <w:pPr>
        <w:pStyle w:val="Bullet-1"/>
      </w:pPr>
      <w:r w:rsidRPr="00B83C6E">
        <w:t>Migration to groundwater in an aquifer based on ingestion</w:t>
      </w:r>
    </w:p>
    <w:p w:rsidR="00B83C6E" w:rsidRPr="00B83C6E" w:rsidRDefault="00B83C6E" w:rsidP="0093514E">
      <w:pPr>
        <w:pStyle w:val="Bullet-1"/>
      </w:pPr>
      <w:r w:rsidRPr="00B83C6E">
        <w:t>Soil leaching of hazardous substances into groundwater</w:t>
      </w:r>
    </w:p>
    <w:p w:rsidR="00B83C6E" w:rsidRPr="00B83C6E" w:rsidRDefault="00B83C6E" w:rsidP="0093514E">
      <w:pPr>
        <w:pStyle w:val="Bullet-1"/>
      </w:pPr>
      <w:r w:rsidRPr="00B83C6E">
        <w:t xml:space="preserve">Migration from groundwater to surface water </w:t>
      </w:r>
    </w:p>
    <w:p w:rsidR="00B83C6E" w:rsidRPr="00B83C6E" w:rsidRDefault="00B83C6E" w:rsidP="0093514E">
      <w:pPr>
        <w:pStyle w:val="Bullet-1"/>
      </w:pPr>
      <w:r w:rsidRPr="00B83C6E">
        <w:t>Discharge to surface water from storm sewers</w:t>
      </w:r>
    </w:p>
    <w:p w:rsidR="00B83C6E" w:rsidRPr="00B83C6E" w:rsidRDefault="00B83C6E" w:rsidP="0093514E">
      <w:pPr>
        <w:pStyle w:val="Bullet-1"/>
      </w:pPr>
      <w:r w:rsidRPr="00B83C6E">
        <w:t>Dermal contact with groundwater (utility worker exposure).</w:t>
      </w:r>
    </w:p>
    <w:p w:rsidR="00B83C6E" w:rsidRPr="00B83C6E" w:rsidRDefault="00B83C6E" w:rsidP="0093514E">
      <w:r w:rsidRPr="00B83C6E">
        <w:t>Each pertinent migration pathway evaluation for the former WWTP is discussed below:</w:t>
      </w:r>
    </w:p>
    <w:p w:rsidR="00B83C6E" w:rsidRPr="00B83C6E" w:rsidRDefault="00B83C6E" w:rsidP="0093514E">
      <w:r w:rsidRPr="00B83C6E">
        <w:rPr>
          <w:b/>
        </w:rPr>
        <w:t>Migration to groundwater in an aquifer based on ingestion.</w:t>
      </w:r>
      <w:r w:rsidRPr="00B83C6E">
        <w:t xml:space="preserve">  </w:t>
      </w:r>
      <w:proofErr w:type="gramStart"/>
      <w:r w:rsidRPr="00B83C6E">
        <w:t>In accordance with Mich. Admin.</w:t>
      </w:r>
      <w:proofErr w:type="gramEnd"/>
      <w:r w:rsidRPr="00B83C6E">
        <w:t xml:space="preserve"> Code Rule 299.5710, exposure to groundwater by ingestion may be considered a relevant pathway for groundwater that satisfies either of the following conditions: 1) </w:t>
      </w:r>
      <w:proofErr w:type="gramStart"/>
      <w:r w:rsidR="00C85BD2">
        <w:t>T</w:t>
      </w:r>
      <w:r w:rsidRPr="00B83C6E">
        <w:t>he</w:t>
      </w:r>
      <w:proofErr w:type="gramEnd"/>
      <w:r w:rsidRPr="00B83C6E">
        <w:t xml:space="preserve"> groundwater is in an aquifer. 2) The groundwater is not in an aquifer, but can reasonably be expected to transport a hazardous substance into an aquifer in a concentration that exceeds the generic residential criteria. </w:t>
      </w:r>
    </w:p>
    <w:p w:rsidR="00A24F7F" w:rsidRDefault="00A24F7F" w:rsidP="0093514E">
      <w:r>
        <w:t xml:space="preserve">Based on the investigation results, the water observed in the sand lenses at the former WWTP in the perched zone is </w:t>
      </w:r>
      <w:r w:rsidR="008F427A">
        <w:t xml:space="preserve">likely </w:t>
      </w:r>
      <w:r>
        <w:t xml:space="preserve">not </w:t>
      </w:r>
      <w:r w:rsidR="00271D22">
        <w:t xml:space="preserve">contained within </w:t>
      </w:r>
      <w:r w:rsidR="008F427A">
        <w:t xml:space="preserve">in </w:t>
      </w:r>
      <w:r>
        <w:t xml:space="preserve">an aquifer. Permeability tests of wells installed at the Coldwater Road site have indicated </w:t>
      </w:r>
      <w:proofErr w:type="spellStart"/>
      <w:r>
        <w:t>permeabilities</w:t>
      </w:r>
      <w:proofErr w:type="spellEnd"/>
      <w:r>
        <w:t xml:space="preserve"> within the shallow perched zone </w:t>
      </w:r>
      <w:r w:rsidR="00F806FE">
        <w:t xml:space="preserve">of </w:t>
      </w:r>
      <w:r>
        <w:t>10</w:t>
      </w:r>
      <w:r>
        <w:rPr>
          <w:vertAlign w:val="superscript"/>
        </w:rPr>
        <w:t xml:space="preserve">-7 </w:t>
      </w:r>
      <w:r>
        <w:t>to 10</w:t>
      </w:r>
      <w:r>
        <w:rPr>
          <w:vertAlign w:val="superscript"/>
        </w:rPr>
        <w:t xml:space="preserve">-6 </w:t>
      </w:r>
      <w:r>
        <w:t xml:space="preserve">cm/sec. It is estimated that a well tapping the perched zone would have a yield ranging from 6 to </w:t>
      </w:r>
      <w:smartTag w:uri="urn:schemas-microsoft-com:office:smarttags" w:element="metricconverter">
        <w:smartTagPr>
          <w:attr w:name="ProductID" w:val="60 gallons"/>
        </w:smartTagPr>
        <w:r>
          <w:t>60 gallons</w:t>
        </w:r>
      </w:smartTag>
      <w:r>
        <w:t xml:space="preserve"> per day. This range in well yield for the perched zone has been verified by the permeability tests conducted on the soil samples from the proposed landfill. Furthermore, vertical </w:t>
      </w:r>
      <w:proofErr w:type="spellStart"/>
      <w:r>
        <w:t>permeabilities</w:t>
      </w:r>
      <w:proofErr w:type="spellEnd"/>
      <w:r>
        <w:t xml:space="preserve"> for the perched zone ranged from 3.5 x 10</w:t>
      </w:r>
      <w:r>
        <w:rPr>
          <w:vertAlign w:val="superscript"/>
        </w:rPr>
        <w:t xml:space="preserve">-7 </w:t>
      </w:r>
      <w:r>
        <w:t>cm/sec to 2.1 x 10</w:t>
      </w:r>
      <w:r>
        <w:rPr>
          <w:vertAlign w:val="superscript"/>
        </w:rPr>
        <w:t xml:space="preserve">-8 </w:t>
      </w:r>
      <w:r>
        <w:t>cm/sec (The Chester Engineers, 1986). Based on this information the perched zone is not capable of producing usable quantities of water</w:t>
      </w:r>
      <w:r w:rsidR="008F427A">
        <w:t xml:space="preserve"> </w:t>
      </w:r>
      <w:r w:rsidR="00660100">
        <w:t>analogous</w:t>
      </w:r>
      <w:r w:rsidR="004D4CA7">
        <w:t xml:space="preserve"> with </w:t>
      </w:r>
      <w:r>
        <w:t>an aquifer.</w:t>
      </w:r>
    </w:p>
    <w:p w:rsidR="00A24F7F" w:rsidRDefault="00A24F7F" w:rsidP="00E83B86">
      <w:r>
        <w:t xml:space="preserve">Deep soil borings installed on site near the landfill indicate the subsurface geology includes </w:t>
      </w:r>
      <w:proofErr w:type="gramStart"/>
      <w:r>
        <w:t>a clay</w:t>
      </w:r>
      <w:proofErr w:type="gramEnd"/>
      <w:r>
        <w:t xml:space="preserve"> till </w:t>
      </w:r>
      <w:proofErr w:type="spellStart"/>
      <w:r>
        <w:t>aquitard</w:t>
      </w:r>
      <w:proofErr w:type="spellEnd"/>
      <w:r>
        <w:t xml:space="preserve"> approximately </w:t>
      </w:r>
      <w:smartTag w:uri="urn:schemas-microsoft-com:office:smarttags" w:element="metricconverter">
        <w:smartTagPr>
          <w:attr w:name="ProductID" w:val="47.5 ft"/>
        </w:smartTagPr>
        <w:r>
          <w:t>47.5 ft</w:t>
        </w:r>
      </w:smartTag>
      <w:r>
        <w:t xml:space="preserve"> thick (former MW-23D located south of the landfill). This </w:t>
      </w:r>
      <w:proofErr w:type="spellStart"/>
      <w:r>
        <w:t>aquitard</w:t>
      </w:r>
      <w:proofErr w:type="spellEnd"/>
      <w:r>
        <w:t xml:space="preserve"> appears to be continuous across the Coldwater Road </w:t>
      </w:r>
      <w:r w:rsidR="00F832F0">
        <w:t xml:space="preserve">Landfill </w:t>
      </w:r>
      <w:r>
        <w:t xml:space="preserve">Site, </w:t>
      </w:r>
      <w:r w:rsidR="004751C3">
        <w:t xml:space="preserve">and </w:t>
      </w:r>
      <w:r>
        <w:t xml:space="preserve">was observed at the former WWTP area. </w:t>
      </w:r>
    </w:p>
    <w:p w:rsidR="00A24F7F" w:rsidRDefault="00A24F7F" w:rsidP="0093514E">
      <w:r>
        <w:t>Also, the differences in the flow direction, gradients, and water levels between the perched zone and drift aquifer make it apparent that there is little, if any, connecti</w:t>
      </w:r>
      <w:r w:rsidR="004751C3">
        <w:t xml:space="preserve">vity </w:t>
      </w:r>
      <w:r>
        <w:t xml:space="preserve">between the perched zone and drift aquifer (Dames &amp; Moore, June 1980). </w:t>
      </w:r>
    </w:p>
    <w:p w:rsidR="00A24F7F" w:rsidRDefault="00A24F7F" w:rsidP="0093514E">
      <w:r>
        <w:t xml:space="preserve"> These conclusions suggest that movement of water from the perched zone to the drift aquifer is unlikely</w:t>
      </w:r>
      <w:r w:rsidR="004751C3">
        <w:t>. I</w:t>
      </w:r>
      <w:r>
        <w:t>t is</w:t>
      </w:r>
      <w:r w:rsidR="004751C3">
        <w:t xml:space="preserve"> also</w:t>
      </w:r>
      <w:r>
        <w:t xml:space="preserve"> unlikely </w:t>
      </w:r>
      <w:r w:rsidR="004751C3">
        <w:t xml:space="preserve">that </w:t>
      </w:r>
      <w:r w:rsidR="008F427A">
        <w:t xml:space="preserve">chemical </w:t>
      </w:r>
      <w:r>
        <w:t xml:space="preserve">concentrations detected in the groundwater </w:t>
      </w:r>
      <w:r w:rsidR="008F427A">
        <w:t>at the fo</w:t>
      </w:r>
      <w:r w:rsidR="0091125F">
        <w:t>r</w:t>
      </w:r>
      <w:r w:rsidR="008F427A">
        <w:t xml:space="preserve">mer WWTP </w:t>
      </w:r>
      <w:r>
        <w:t>could migrate vertically to the usable aquifer in concentrations exceed</w:t>
      </w:r>
      <w:r w:rsidR="004751C3">
        <w:t>ing</w:t>
      </w:r>
      <w:r>
        <w:t xml:space="preserve"> Part 201 Generic Residential Drinking Water </w:t>
      </w:r>
      <w:r w:rsidR="004751C3">
        <w:t>C</w:t>
      </w:r>
      <w:r>
        <w:t xml:space="preserve">riteria.  </w:t>
      </w:r>
    </w:p>
    <w:p w:rsidR="00B83C6E" w:rsidRPr="00B83C6E" w:rsidRDefault="00B83C6E" w:rsidP="0093514E">
      <w:r w:rsidRPr="00B83C6E">
        <w:t xml:space="preserve">The results </w:t>
      </w:r>
      <w:r w:rsidR="008F427A">
        <w:t xml:space="preserve">of groundwater sampling at the former WWTP </w:t>
      </w:r>
      <w:r w:rsidRPr="00B83C6E">
        <w:t xml:space="preserve">indicate manganese concentrations are below </w:t>
      </w:r>
      <w:r w:rsidR="00C81B17">
        <w:t>Part 2</w:t>
      </w:r>
      <w:r w:rsidR="00376722">
        <w:t>01 Health Based Drinking Water C</w:t>
      </w:r>
      <w:r w:rsidR="00C81B17">
        <w:t>riterion of 2.5 mg/l except for well OBG MW-3</w:t>
      </w:r>
      <w:r w:rsidR="008F427A">
        <w:t>,</w:t>
      </w:r>
      <w:r w:rsidR="00C81B17">
        <w:t xml:space="preserve"> which previously exhibited concentrations of total manganese of 5.08 mg/l</w:t>
      </w:r>
      <w:r w:rsidR="00D37AE3">
        <w:t xml:space="preserve"> (December 11, 2007)</w:t>
      </w:r>
      <w:r w:rsidR="00C81B17">
        <w:t xml:space="preserve"> and 5.05</w:t>
      </w:r>
      <w:r w:rsidR="00376722">
        <w:t xml:space="preserve"> mg/l </w:t>
      </w:r>
      <w:r w:rsidR="00D37AE3">
        <w:t>(March 18, 2008)</w:t>
      </w:r>
      <w:r w:rsidR="00C81B17">
        <w:t xml:space="preserve"> mg/l. </w:t>
      </w:r>
      <w:r w:rsidRPr="00B83C6E">
        <w:t xml:space="preserve"> </w:t>
      </w:r>
      <w:r w:rsidR="00C81B17">
        <w:t>T</w:t>
      </w:r>
      <w:r w:rsidRPr="00B83C6E">
        <w:t>herefore</w:t>
      </w:r>
      <w:r w:rsidR="009B5882">
        <w:t>,</w:t>
      </w:r>
      <w:r w:rsidRPr="00B83C6E">
        <w:t xml:space="preserve"> the site deed restriction will be expanded to prohibit use of the groundwater at the entire </w:t>
      </w:r>
      <w:r w:rsidR="008F427A">
        <w:t>Coldwater Road Landfill S</w:t>
      </w:r>
      <w:r w:rsidRPr="00B83C6E">
        <w:t>ite, including the former WWTP area. The current Declaration of Restrictive Covenant prohibits the construction of wells or other devices to extract groundwater for consumption, irrigation, dewatering or any other use at two areas of the Coldwater Road Landfill Site: the RMA and the landfill.</w:t>
      </w:r>
    </w:p>
    <w:p w:rsidR="00B83C6E" w:rsidRPr="00B83C6E" w:rsidRDefault="008F427A" w:rsidP="0093514E">
      <w:r>
        <w:t xml:space="preserve">With the filing of the </w:t>
      </w:r>
      <w:r w:rsidRPr="00B83C6E">
        <w:t>Declaration of Restrictive Covenant</w:t>
      </w:r>
      <w:r w:rsidR="00B83C6E" w:rsidRPr="00B83C6E">
        <w:t xml:space="preserve">, the former WWTP is in compliance with </w:t>
      </w:r>
      <w:r w:rsidR="00BA16BE">
        <w:t xml:space="preserve">Part 201 </w:t>
      </w:r>
      <w:r w:rsidR="009730AA">
        <w:t xml:space="preserve">Generic </w:t>
      </w:r>
      <w:r w:rsidR="00B1379F">
        <w:t xml:space="preserve">Non-Residential </w:t>
      </w:r>
      <w:r w:rsidR="009730AA">
        <w:t>standards</w:t>
      </w:r>
      <w:r w:rsidR="00B83C6E" w:rsidRPr="00B83C6E">
        <w:t xml:space="preserve"> for the migration </w:t>
      </w:r>
      <w:r>
        <w:t>of</w:t>
      </w:r>
      <w:r w:rsidR="00B83C6E" w:rsidRPr="00B83C6E">
        <w:t xml:space="preserve"> groundwater </w:t>
      </w:r>
      <w:r>
        <w:t>to</w:t>
      </w:r>
      <w:r w:rsidR="00B83C6E" w:rsidRPr="00B83C6E">
        <w:t xml:space="preserve"> an aquifer based on </w:t>
      </w:r>
      <w:r w:rsidR="009730AA">
        <w:t xml:space="preserve">the </w:t>
      </w:r>
      <w:r w:rsidR="00B83C6E" w:rsidRPr="00B83C6E">
        <w:t>ingestion exposure pathway.</w:t>
      </w:r>
    </w:p>
    <w:p w:rsidR="00B83C6E" w:rsidRPr="00B83C6E" w:rsidRDefault="00B83C6E" w:rsidP="0093514E">
      <w:proofErr w:type="gramStart"/>
      <w:r w:rsidRPr="00B83C6E">
        <w:rPr>
          <w:b/>
        </w:rPr>
        <w:t>Soil leaching of hazardous substances into groundwater</w:t>
      </w:r>
      <w:r w:rsidRPr="00B83C6E">
        <w:t>.</w:t>
      </w:r>
      <w:proofErr w:type="gramEnd"/>
      <w:r w:rsidRPr="00B83C6E">
        <w:t xml:space="preserve"> </w:t>
      </w:r>
      <w:proofErr w:type="gramStart"/>
      <w:r w:rsidRPr="00B83C6E">
        <w:t>In accordance with Mich. Admin.</w:t>
      </w:r>
      <w:proofErr w:type="gramEnd"/>
      <w:r w:rsidRPr="00B83C6E">
        <w:t xml:space="preserve"> Code Rule 299.5722, to assure that soils do not pose a threat of aquifer contamination, the concentration of the hazardous substance in soil shall be below that which produces a concentration in </w:t>
      </w:r>
      <w:proofErr w:type="spellStart"/>
      <w:r w:rsidRPr="00B83C6E">
        <w:t>leachate</w:t>
      </w:r>
      <w:proofErr w:type="spellEnd"/>
      <w:r w:rsidRPr="00B83C6E">
        <w:t xml:space="preserve"> that is equal to the least restrictive of the applicable groundwater criteria. The cleanup criteria protective of groundwater may be determined by; soil </w:t>
      </w:r>
      <w:proofErr w:type="spellStart"/>
      <w:r w:rsidRPr="00B83C6E">
        <w:t>leachate</w:t>
      </w:r>
      <w:proofErr w:type="spellEnd"/>
      <w:r w:rsidRPr="00B83C6E">
        <w:t xml:space="preserve"> analysis, comparing the concentration in soil to Part 201 </w:t>
      </w:r>
      <w:r w:rsidR="00E601CD">
        <w:t xml:space="preserve">Generic Non-residential </w:t>
      </w:r>
      <w:r w:rsidRPr="00B83C6E">
        <w:t>Drinking Water Protection Criteria</w:t>
      </w:r>
      <w:r w:rsidR="00BA56A5">
        <w:t>,</w:t>
      </w:r>
      <w:r w:rsidRPr="00B83C6E">
        <w:t xml:space="preserve"> or by other methods that demonstrate impact to soil will not result in applicable groundwater criteria being exceeded (</w:t>
      </w:r>
      <w:r w:rsidR="00BA56A5">
        <w:t xml:space="preserve">e.g., </w:t>
      </w:r>
      <w:r w:rsidRPr="00B83C6E">
        <w:t xml:space="preserve">groundwater data </w:t>
      </w:r>
      <w:r w:rsidR="00BA56A5">
        <w:t>comparisons to criteria</w:t>
      </w:r>
      <w:r w:rsidRPr="00B83C6E">
        <w:t xml:space="preserve">). </w:t>
      </w:r>
    </w:p>
    <w:p w:rsidR="00B83C6E" w:rsidRPr="00B83C6E" w:rsidRDefault="00B83C6E" w:rsidP="0093514E">
      <w:r w:rsidRPr="00B83C6E">
        <w:t>Since the former WWTP soil impacts could not be investigated through soil sample collection and analysis</w:t>
      </w:r>
      <w:proofErr w:type="gramStart"/>
      <w:r w:rsidRPr="00B83C6E">
        <w:t>,  MDEQ</w:t>
      </w:r>
      <w:proofErr w:type="gramEnd"/>
      <w:r w:rsidRPr="00B83C6E">
        <w:t xml:space="preserve"> </w:t>
      </w:r>
      <w:r w:rsidR="008C4CF0">
        <w:t>permitted</w:t>
      </w:r>
      <w:r w:rsidRPr="00B83C6E">
        <w:t xml:space="preserve"> monitoring wells to be installed in close proximity to soil impacts and collection and analysis of groundwater to assess the potential for soil impacts leaching to groundwater as an acceptable method for assessing this </w:t>
      </w:r>
      <w:r w:rsidR="007520C1">
        <w:t>migration</w:t>
      </w:r>
      <w:r w:rsidRPr="00B83C6E">
        <w:t xml:space="preserve"> pathway. A previous investigation (2008 Addendum Report) indicated manganese levels near the property boundary (OBG MW-3) exceeded the site</w:t>
      </w:r>
      <w:r w:rsidR="00E01753">
        <w:t>-</w:t>
      </w:r>
      <w:r w:rsidRPr="00B83C6E">
        <w:t xml:space="preserve">specific background level and Part 201 Health Based Drinking Water </w:t>
      </w:r>
      <w:r w:rsidR="00A22EF6">
        <w:t>C</w:t>
      </w:r>
      <w:r w:rsidRPr="00B83C6E">
        <w:t>riteri</w:t>
      </w:r>
      <w:r w:rsidR="00A22EF6">
        <w:t>on</w:t>
      </w:r>
      <w:r w:rsidRPr="00B83C6E">
        <w:t>. The results of the quarterly groundwater sampling</w:t>
      </w:r>
      <w:r w:rsidR="009B5882">
        <w:t xml:space="preserve"> </w:t>
      </w:r>
      <w:r w:rsidRPr="00B83C6E">
        <w:t>indicated</w:t>
      </w:r>
      <w:r w:rsidR="00A22EF6">
        <w:t xml:space="preserve"> that</w:t>
      </w:r>
      <w:r w:rsidRPr="00B83C6E">
        <w:t xml:space="preserve"> concentrations of </w:t>
      </w:r>
      <w:r w:rsidR="00B1379F">
        <w:t xml:space="preserve">total and dissolved </w:t>
      </w:r>
      <w:r w:rsidRPr="00B83C6E">
        <w:t xml:space="preserve">manganese </w:t>
      </w:r>
      <w:r w:rsidR="00A22EF6">
        <w:t xml:space="preserve">are </w:t>
      </w:r>
      <w:r w:rsidRPr="00B83C6E">
        <w:t xml:space="preserve">below </w:t>
      </w:r>
      <w:r w:rsidR="00A22EF6">
        <w:t xml:space="preserve">both the </w:t>
      </w:r>
      <w:r w:rsidRPr="00B83C6E">
        <w:t>site</w:t>
      </w:r>
      <w:r w:rsidR="00B1379F">
        <w:t>-</w:t>
      </w:r>
      <w:r w:rsidRPr="00B83C6E">
        <w:t>specific background value and Part 201 Non-Residentia</w:t>
      </w:r>
      <w:r w:rsidR="00A22EF6">
        <w:t>l Health Based Drinking Water C</w:t>
      </w:r>
      <w:r w:rsidRPr="00B83C6E">
        <w:t>riteri</w:t>
      </w:r>
      <w:r w:rsidR="00A22EF6">
        <w:t>on</w:t>
      </w:r>
      <w:r w:rsidRPr="00B83C6E">
        <w:t xml:space="preserve"> at OBG MW-9</w:t>
      </w:r>
      <w:r w:rsidR="00B1379F">
        <w:t xml:space="preserve"> (south of OBG MW-3)</w:t>
      </w:r>
      <w:r w:rsidR="002506AD">
        <w:t xml:space="preserve">, delineating this impact. </w:t>
      </w:r>
    </w:p>
    <w:p w:rsidR="00B83C6E" w:rsidRPr="00B83C6E" w:rsidRDefault="00B83C6E" w:rsidP="0093514E">
      <w:r w:rsidRPr="00B83C6E">
        <w:t>Groundwater at the site is not used for drinking water</w:t>
      </w:r>
      <w:r w:rsidR="00434612">
        <w:t>. Additionally,</w:t>
      </w:r>
      <w:r w:rsidRPr="00B83C6E">
        <w:t xml:space="preserve"> upon approval of this </w:t>
      </w:r>
      <w:r w:rsidR="00B1024F">
        <w:t>2013 Addendum Report</w:t>
      </w:r>
      <w:r w:rsidR="00151F50">
        <w:t>,</w:t>
      </w:r>
      <w:r w:rsidRPr="00B83C6E">
        <w:t xml:space="preserve"> </w:t>
      </w:r>
      <w:r w:rsidR="00E601CD">
        <w:t>RACER</w:t>
      </w:r>
      <w:r w:rsidR="00E601CD" w:rsidRPr="00B83C6E">
        <w:t xml:space="preserve"> </w:t>
      </w:r>
      <w:r w:rsidRPr="00B83C6E">
        <w:t xml:space="preserve">will </w:t>
      </w:r>
      <w:r w:rsidR="00DD6867">
        <w:t>supplement</w:t>
      </w:r>
      <w:r w:rsidR="00F528FB">
        <w:t xml:space="preserve"> the</w:t>
      </w:r>
      <w:r w:rsidRPr="00B83C6E">
        <w:t xml:space="preserve"> Declaration of Restrictive Covenant </w:t>
      </w:r>
      <w:r w:rsidR="00DD6867">
        <w:t>for the site and file the supplement</w:t>
      </w:r>
      <w:r w:rsidRPr="00B83C6E">
        <w:t xml:space="preserve"> with the Genesee County Register of Deeds, restricting potential future groundwater use for the entire Coldwater Road </w:t>
      </w:r>
      <w:r w:rsidR="00B1379F">
        <w:t>L</w:t>
      </w:r>
      <w:r w:rsidRPr="00B83C6E">
        <w:t xml:space="preserve">andfill </w:t>
      </w:r>
      <w:r w:rsidR="00B1379F">
        <w:t>S</w:t>
      </w:r>
      <w:r w:rsidRPr="00B83C6E">
        <w:t>ite</w:t>
      </w:r>
      <w:r w:rsidR="003B08C1">
        <w:t>.</w:t>
      </w:r>
      <w:r w:rsidRPr="00B83C6E">
        <w:t xml:space="preserve"> </w:t>
      </w:r>
    </w:p>
    <w:p w:rsidR="00B83C6E" w:rsidRPr="00B83C6E" w:rsidRDefault="00B83C6E" w:rsidP="0093514E">
      <w:r w:rsidRPr="00B83C6E">
        <w:t xml:space="preserve">Currently institutional controls (Declaration of Restrictive Covenant form recorded on June 24, 2005) at the site restrict the installation of wells at </w:t>
      </w:r>
      <w:r w:rsidR="00335E85">
        <w:t xml:space="preserve">a limited area of </w:t>
      </w:r>
      <w:r w:rsidRPr="00B83C6E">
        <w:t xml:space="preserve">the site for drinking water purposes. Therefore, potential exposure associated with the soil leaching to groundwater pathway will be mitigated based on </w:t>
      </w:r>
      <w:r w:rsidR="00DD6867">
        <w:t>supplementing</w:t>
      </w:r>
      <w:r w:rsidRPr="00B83C6E">
        <w:t xml:space="preserve"> </w:t>
      </w:r>
      <w:r w:rsidR="00335E85">
        <w:t xml:space="preserve">the </w:t>
      </w:r>
      <w:r w:rsidRPr="00B83C6E">
        <w:t xml:space="preserve">Declaration of Restrictive Covenant restricting use of groundwater at the </w:t>
      </w:r>
      <w:r w:rsidR="00335E85">
        <w:t xml:space="preserve">entire </w:t>
      </w:r>
      <w:r w:rsidRPr="00B83C6E">
        <w:t xml:space="preserve">site for drinking water. </w:t>
      </w:r>
      <w:r w:rsidR="00365A39">
        <w:t xml:space="preserve">With the filing of the </w:t>
      </w:r>
      <w:r w:rsidR="00365A39" w:rsidRPr="00B83C6E">
        <w:t>Declaration of Restrictive Covenant</w:t>
      </w:r>
      <w:r w:rsidR="00DD6867">
        <w:t xml:space="preserve"> supplement</w:t>
      </w:r>
      <w:r w:rsidR="00365A39">
        <w:t>, t</w:t>
      </w:r>
      <w:r w:rsidRPr="00B83C6E">
        <w:t xml:space="preserve">he former WWTP </w:t>
      </w:r>
      <w:r w:rsidR="00DD6867">
        <w:t>will be</w:t>
      </w:r>
      <w:r w:rsidRPr="00B83C6E">
        <w:t xml:space="preserve"> in compliance with Generic Non-Residential standards for the soil leaching of hazardous substances into groundwater pathway.</w:t>
      </w:r>
    </w:p>
    <w:p w:rsidR="00B83C6E" w:rsidRPr="00B83C6E" w:rsidRDefault="00B83C6E" w:rsidP="0093514E">
      <w:proofErr w:type="gramStart"/>
      <w:r w:rsidRPr="00B83C6E">
        <w:rPr>
          <w:b/>
        </w:rPr>
        <w:t>Groundwater to surface water</w:t>
      </w:r>
      <w:r w:rsidRPr="00B83C6E">
        <w:t>.</w:t>
      </w:r>
      <w:proofErr w:type="gramEnd"/>
      <w:r w:rsidRPr="00B83C6E">
        <w:t xml:space="preserve"> </w:t>
      </w:r>
      <w:proofErr w:type="gramStart"/>
      <w:r w:rsidRPr="00B83C6E">
        <w:t>In accordance with Mich. Admin.</w:t>
      </w:r>
      <w:proofErr w:type="gramEnd"/>
      <w:r w:rsidRPr="00B83C6E">
        <w:t xml:space="preserve"> Code Rule 299.5716, COCs in groundwater at the surface water interface must be no greater than the Part 201 Generic Non-Residential Groundwater-Surface Water Interface (GSI) Criteria. The surface water receptor (wetlands) on </w:t>
      </w:r>
      <w:r w:rsidR="00B43103">
        <w:t>the</w:t>
      </w:r>
      <w:r w:rsidRPr="00B83C6E">
        <w:t xml:space="preserve"> property (the nearest surface water body- depicted on Figure 2) is located approximately </w:t>
      </w:r>
      <w:smartTag w:uri="urn:schemas-microsoft-com:office:smarttags" w:element="metricconverter">
        <w:smartTagPr>
          <w:attr w:name="ProductID" w:val="2,000 ft"/>
        </w:smartTagPr>
        <w:r w:rsidRPr="00B83C6E">
          <w:t>2,000 ft</w:t>
        </w:r>
      </w:smartTag>
      <w:r w:rsidRPr="00B83C6E">
        <w:t xml:space="preserve"> north of the former WWTP. The onsite wetlands are not used as a human drinking water source, thus</w:t>
      </w:r>
      <w:r w:rsidR="00C200B7">
        <w:t>,</w:t>
      </w:r>
      <w:r w:rsidRPr="00B83C6E">
        <w:t xml:space="preserve"> the criteria for the GSI Human Non-Drinking Water Value is applicable.</w:t>
      </w:r>
    </w:p>
    <w:p w:rsidR="00B83C6E" w:rsidRPr="00B83C6E" w:rsidRDefault="005C6EE9" w:rsidP="0093514E">
      <w:r>
        <w:t>Total and dissolved m</w:t>
      </w:r>
      <w:r w:rsidR="00B83C6E" w:rsidRPr="00B83C6E">
        <w:t xml:space="preserve">anganese concentrations in groundwater are below </w:t>
      </w:r>
      <w:r w:rsidR="00C46BDB">
        <w:t xml:space="preserve">Part 201 </w:t>
      </w:r>
      <w:r w:rsidR="00B83C6E" w:rsidRPr="00B83C6E">
        <w:t xml:space="preserve">GSI Human Non-Drinking Water value. Based on the chemical characteristics for </w:t>
      </w:r>
      <w:proofErr w:type="spellStart"/>
      <w:r w:rsidR="00B83C6E" w:rsidRPr="00B83C6E">
        <w:t>inorganics</w:t>
      </w:r>
      <w:proofErr w:type="spellEnd"/>
      <w:r w:rsidR="00B83C6E" w:rsidRPr="00B83C6E">
        <w:t xml:space="preserve"> (low mobility), the unlikely transport mechanism for groundwater (non-continuous perched zone) and the potential for considerable dilution before groundwater reaches the nearest surface water body, it is unlikely the detected compounds would reach the nearest surface body of water in concentrations above GSI</w:t>
      </w:r>
      <w:r w:rsidR="00DD6867">
        <w:t xml:space="preserve"> criteria</w:t>
      </w:r>
      <w:r w:rsidR="00B83C6E" w:rsidRPr="00B83C6E">
        <w:t xml:space="preserve">. Therefore, the site is in compliance with Generic Non-Residential standards for the migration to surface water pathway. </w:t>
      </w:r>
    </w:p>
    <w:p w:rsidR="00B83C6E" w:rsidRPr="00B83C6E" w:rsidRDefault="00B83C6E" w:rsidP="0093514E">
      <w:r w:rsidRPr="00B83C6E">
        <w:rPr>
          <w:b/>
        </w:rPr>
        <w:t>Discharge to surface water from storm sewers</w:t>
      </w:r>
      <w:r w:rsidR="008766A3">
        <w:rPr>
          <w:b/>
        </w:rPr>
        <w:t xml:space="preserve">. </w:t>
      </w:r>
      <w:r w:rsidRPr="00B83C6E">
        <w:t xml:space="preserve">MDEQ regulations require that storm sewers must be addressed as a potential preferential pathway when evaluating the </w:t>
      </w:r>
      <w:r w:rsidR="00260325">
        <w:t>GSI</w:t>
      </w:r>
      <w:r w:rsidR="008766A3">
        <w:t xml:space="preserve"> migration pathway (</w:t>
      </w:r>
      <w:r w:rsidRPr="00B83C6E">
        <w:t>GSI</w:t>
      </w:r>
      <w:r w:rsidR="008766A3">
        <w:t>)</w:t>
      </w:r>
      <w:r w:rsidRPr="00B83C6E">
        <w:t xml:space="preserve">. The nearest storm sewer underground utility line (shown on Figure 5) is located approximately </w:t>
      </w:r>
      <w:smartTag w:uri="urn:schemas-microsoft-com:office:smarttags" w:element="metricconverter">
        <w:smartTagPr>
          <w:attr w:name="ProductID" w:val="80 ft"/>
        </w:smartTagPr>
        <w:r w:rsidRPr="00B83C6E">
          <w:t>80 ft</w:t>
        </w:r>
      </w:smartTag>
      <w:r w:rsidRPr="00B83C6E">
        <w:t xml:space="preserve"> east of the former WWTP. Based on the subsurface geology in this area, the chemical characteristics for the </w:t>
      </w:r>
      <w:proofErr w:type="spellStart"/>
      <w:r w:rsidRPr="00B83C6E">
        <w:t>inorganics</w:t>
      </w:r>
      <w:proofErr w:type="spellEnd"/>
      <w:r w:rsidRPr="00B83C6E">
        <w:t xml:space="preserve"> (low mobility) and the distance to the nearest storm sewer line, it is unlikely the discontinuous sand lenses containing water are connected to the sewer line</w:t>
      </w:r>
      <w:r w:rsidR="004A2063">
        <w:t xml:space="preserve"> corridor</w:t>
      </w:r>
      <w:r w:rsidRPr="00B83C6E">
        <w:t xml:space="preserve">. Thus there does not appear to be a migration pathway from the sand lenses at the former WWTP to the nearest storm sewer line. </w:t>
      </w:r>
    </w:p>
    <w:p w:rsidR="00B83C6E" w:rsidRPr="00B83C6E" w:rsidRDefault="00B83C6E" w:rsidP="0093514E">
      <w:r w:rsidRPr="00B83C6E">
        <w:t xml:space="preserve">Therefore, the former WWTP is in compliance with Generic Non-Residential standards for the </w:t>
      </w:r>
      <w:r w:rsidR="00BE699E">
        <w:t xml:space="preserve">GSI </w:t>
      </w:r>
      <w:r w:rsidRPr="00B83C6E">
        <w:t>migration pathway via storm sewers.</w:t>
      </w:r>
    </w:p>
    <w:p w:rsidR="00B83C6E" w:rsidRPr="00B83C6E" w:rsidRDefault="00B83C6E" w:rsidP="0093514E">
      <w:proofErr w:type="gramStart"/>
      <w:r w:rsidRPr="00B83C6E">
        <w:rPr>
          <w:b/>
        </w:rPr>
        <w:t>Dermal contact with groundwater (utility worker exposure)</w:t>
      </w:r>
      <w:r w:rsidRPr="00B83C6E">
        <w:t>.</w:t>
      </w:r>
      <w:proofErr w:type="gramEnd"/>
      <w:r w:rsidRPr="00B83C6E">
        <w:t xml:space="preserve"> </w:t>
      </w:r>
      <w:proofErr w:type="gramStart"/>
      <w:r w:rsidRPr="00B83C6E">
        <w:t>In accordance with Mich. Admin.</w:t>
      </w:r>
      <w:proofErr w:type="gramEnd"/>
      <w:r w:rsidRPr="00B83C6E">
        <w:t xml:space="preserve"> Code Rule 299.5712, exposure to dermal contact shall apply when contaminated groundwater is, or will be as a result of migration of groundwater contamination, encountered at a depth where construction or maintenance of utilities or other subsurface activities may reasonably be expected to result in persons coming into contact with the groundwater. </w:t>
      </w:r>
    </w:p>
    <w:p w:rsidR="00B83C6E" w:rsidRPr="00B83C6E" w:rsidRDefault="00B83C6E" w:rsidP="0093514E">
      <w:r w:rsidRPr="00B83C6E">
        <w:t xml:space="preserve">The analytical results for the groundwater samples collected at the former WWTP indicate concentrations of manganese are below Part 201 Generic </w:t>
      </w:r>
      <w:r w:rsidR="00685BA7">
        <w:t>Non-</w:t>
      </w:r>
      <w:r w:rsidR="00A407A9">
        <w:t>R</w:t>
      </w:r>
      <w:r w:rsidR="00685BA7">
        <w:t xml:space="preserve">esidential </w:t>
      </w:r>
      <w:r w:rsidRPr="00B83C6E">
        <w:t xml:space="preserve">Contact criteria. Therefore, the former WWTP is in compliance with the Generic Non-Residential standards for the dermal contact with groundwater pathway. </w:t>
      </w:r>
    </w:p>
    <w:p w:rsidR="00B83C6E" w:rsidRPr="00B83C6E" w:rsidRDefault="00B83C6E" w:rsidP="0093514E">
      <w:r w:rsidRPr="00B83C6E">
        <w:t xml:space="preserve">Based on the above summary, and upon </w:t>
      </w:r>
      <w:r w:rsidR="0020739A">
        <w:t xml:space="preserve">supplementing </w:t>
      </w:r>
      <w:r w:rsidRPr="00B83C6E">
        <w:t xml:space="preserve">the MDEQ-approved Declaration of Restrictive Covenant restricting resource use at the </w:t>
      </w:r>
      <w:r w:rsidR="009770A0">
        <w:t xml:space="preserve">entire </w:t>
      </w:r>
      <w:r w:rsidRPr="00B83C6E">
        <w:t xml:space="preserve">site, Limited </w:t>
      </w:r>
      <w:r w:rsidR="003C1C02">
        <w:t>Non-Residential</w:t>
      </w:r>
      <w:r w:rsidRPr="00B83C6E">
        <w:t xml:space="preserve"> compliance is achieved for the former WWTP.</w:t>
      </w:r>
    </w:p>
    <w:p w:rsidR="00B83C6E" w:rsidRPr="00B83C6E" w:rsidRDefault="00B83C6E" w:rsidP="0093514E">
      <w:pPr>
        <w:pStyle w:val="Heading1"/>
      </w:pPr>
      <w:r>
        <w:br w:type="page"/>
      </w:r>
      <w:bookmarkStart w:id="71" w:name="_Toc341774529"/>
      <w:bookmarkStart w:id="72" w:name="_Toc352766955"/>
      <w:r w:rsidR="00B36D5E">
        <w:t xml:space="preserve">4 </w:t>
      </w:r>
      <w:r w:rsidRPr="00B83C6E">
        <w:t>Conclusions</w:t>
      </w:r>
      <w:bookmarkEnd w:id="71"/>
      <w:bookmarkEnd w:id="72"/>
    </w:p>
    <w:p w:rsidR="00B83C6E" w:rsidRPr="00B83C6E" w:rsidRDefault="00B83C6E" w:rsidP="0093514E">
      <w:r w:rsidRPr="00B83C6E">
        <w:t>This Addendum Report supplements the June 1999 Final Certification Closure Report and the 2008 Addendum Report for the former WWTP at the R</w:t>
      </w:r>
      <w:r w:rsidR="009770A0">
        <w:t>ACER</w:t>
      </w:r>
      <w:r w:rsidRPr="00B83C6E">
        <w:t xml:space="preserve"> Coldwater Road Landfill facility in Flint, Michigan. The former WWTP falls under the CACO for the R</w:t>
      </w:r>
      <w:r w:rsidR="009770A0">
        <w:t>ACER</w:t>
      </w:r>
      <w:r w:rsidRPr="00B83C6E">
        <w:t xml:space="preserve"> Coldwater Road Landfill facility</w:t>
      </w:r>
      <w:r w:rsidR="009770A0">
        <w:t xml:space="preserve"> pursuant to NREPA Part 111</w:t>
      </w:r>
      <w:r w:rsidR="00312C05">
        <w:t xml:space="preserve"> as a contiguous facility</w:t>
      </w:r>
      <w:r w:rsidRPr="00B83C6E">
        <w:t>.</w:t>
      </w:r>
    </w:p>
    <w:p w:rsidR="009F27FE" w:rsidRDefault="00B83C6E" w:rsidP="0093514E">
      <w:r w:rsidRPr="00B83C6E">
        <w:t xml:space="preserve">At the request of MDEQ, an additional </w:t>
      </w:r>
      <w:r w:rsidR="00E601CD">
        <w:t xml:space="preserve">groundwater </w:t>
      </w:r>
      <w:r w:rsidRPr="00B83C6E">
        <w:t xml:space="preserve">investigation was performed at the former WWTP to evaluate the </w:t>
      </w:r>
      <w:r w:rsidR="00BE5224">
        <w:t xml:space="preserve">detected concentrations of manganese </w:t>
      </w:r>
      <w:r w:rsidRPr="00B83C6E">
        <w:t>in groundwater</w:t>
      </w:r>
      <w:r w:rsidR="00BE5224">
        <w:t xml:space="preserve"> at the former WWTP. A</w:t>
      </w:r>
      <w:r w:rsidR="00E601CD">
        <w:t xml:space="preserve"> Work Plan with proposed </w:t>
      </w:r>
      <w:r w:rsidR="00F849CE">
        <w:t>groundwater sampling methodology</w:t>
      </w:r>
      <w:r w:rsidR="009F27FE">
        <w:t xml:space="preserve">, </w:t>
      </w:r>
      <w:r w:rsidR="00BE5224">
        <w:t>monitoring well investigation locations</w:t>
      </w:r>
      <w:r w:rsidR="009F27FE">
        <w:t xml:space="preserve"> and site-specific background values developed for iron and manganese,</w:t>
      </w:r>
      <w:r w:rsidR="00BE5224">
        <w:t xml:space="preserve"> </w:t>
      </w:r>
      <w:r w:rsidR="00E601CD">
        <w:t xml:space="preserve">was </w:t>
      </w:r>
      <w:r w:rsidR="00BE5224">
        <w:t xml:space="preserve">submitted to the MDEQ on July 13, 2000. This Work Plan was approved by MDEQ in a letter dated September 26, 2011. The Work </w:t>
      </w:r>
      <w:r w:rsidR="00F849CE">
        <w:t>P</w:t>
      </w:r>
      <w:r w:rsidR="00BE5224">
        <w:t xml:space="preserve">lan </w:t>
      </w:r>
      <w:r w:rsidR="00F849CE">
        <w:t xml:space="preserve">was implemented from </w:t>
      </w:r>
      <w:r w:rsidR="009F27FE">
        <w:t xml:space="preserve">October 10, 2011 through May 2012. </w:t>
      </w:r>
      <w:r w:rsidR="00C11C74">
        <w:t xml:space="preserve"> </w:t>
      </w:r>
      <w:r w:rsidR="00C43DCB">
        <w:t>I</w:t>
      </w:r>
      <w:r w:rsidR="00C11C74">
        <w:t>mplement</w:t>
      </w:r>
      <w:r w:rsidR="00C43DCB">
        <w:t>ation of</w:t>
      </w:r>
      <w:r w:rsidR="00C11C74">
        <w:t xml:space="preserve"> the Work Plan </w:t>
      </w:r>
      <w:r w:rsidR="00C43DCB">
        <w:t xml:space="preserve">supported the </w:t>
      </w:r>
      <w:r w:rsidR="00C11C74">
        <w:t>demonstrat</w:t>
      </w:r>
      <w:r w:rsidR="00C43DCB">
        <w:t>ion of m</w:t>
      </w:r>
      <w:r w:rsidR="00C11C74">
        <w:t>anganese impact</w:t>
      </w:r>
      <w:r w:rsidR="00C43DCB">
        <w:t>s</w:t>
      </w:r>
      <w:r w:rsidR="00C11C74">
        <w:t xml:space="preserve"> to groundwater was delineated.</w:t>
      </w:r>
    </w:p>
    <w:p w:rsidR="00B83C6E" w:rsidRPr="00B83C6E" w:rsidRDefault="00751C14" w:rsidP="0093514E">
      <w:r>
        <w:t>An</w:t>
      </w:r>
      <w:r w:rsidR="00B83C6E" w:rsidRPr="00B83C6E">
        <w:t xml:space="preserve"> evaluation of pertinent migration pathways </w:t>
      </w:r>
      <w:r w:rsidR="007647E8">
        <w:t>at</w:t>
      </w:r>
      <w:r w:rsidR="00B83C6E" w:rsidRPr="00B83C6E">
        <w:t xml:space="preserve"> the former WWTP concluded that compliance with Generic Non-</w:t>
      </w:r>
      <w:r w:rsidR="00B91F87" w:rsidRPr="00B83C6E">
        <w:t>Residential</w:t>
      </w:r>
      <w:r w:rsidR="00B83C6E" w:rsidRPr="00B83C6E">
        <w:t xml:space="preserve"> cleanup criteria is achieved for this area </w:t>
      </w:r>
      <w:r w:rsidR="00C43DCB">
        <w:t xml:space="preserve">following </w:t>
      </w:r>
      <w:r w:rsidR="00002759">
        <w:t>supplementing</w:t>
      </w:r>
      <w:r w:rsidR="00C43DCB">
        <w:t xml:space="preserve"> the current </w:t>
      </w:r>
      <w:r w:rsidR="00B83C6E" w:rsidRPr="00B83C6E">
        <w:t>Declaration of Restrictive Covenant</w:t>
      </w:r>
      <w:r w:rsidR="00C43DCB">
        <w:t xml:space="preserve"> </w:t>
      </w:r>
      <w:r w:rsidR="00002759">
        <w:t xml:space="preserve">to </w:t>
      </w:r>
      <w:r w:rsidR="00C43DCB">
        <w:t>restricting groundwater use</w:t>
      </w:r>
      <w:r w:rsidR="00002759">
        <w:t xml:space="preserve"> at the entire site</w:t>
      </w:r>
      <w:r w:rsidR="00B83C6E" w:rsidRPr="00B83C6E">
        <w:t xml:space="preserve">. Based on the </w:t>
      </w:r>
      <w:r>
        <w:t xml:space="preserve">results of investigation activities </w:t>
      </w:r>
      <w:r w:rsidR="00B83C6E" w:rsidRPr="00B83C6E">
        <w:t xml:space="preserve">and </w:t>
      </w:r>
      <w:r w:rsidR="00A303EF">
        <w:t xml:space="preserve">the </w:t>
      </w:r>
      <w:r>
        <w:t>migration pathway evaluation</w:t>
      </w:r>
      <w:r w:rsidR="00B83C6E" w:rsidRPr="00B83C6E">
        <w:t xml:space="preserve"> presented herein, closure of the former WWTP pursuant to NREPA Part 111 is achieved.</w:t>
      </w:r>
    </w:p>
    <w:p w:rsidR="00B83C6E" w:rsidRPr="00B83C6E" w:rsidRDefault="00B83C6E" w:rsidP="0093514E">
      <w:r w:rsidRPr="00B83C6E">
        <w:t>Post-closure activities associated with the landfill are continuing in accordance with the Post-Closure Plan. Following MDEQ approval of closure, R</w:t>
      </w:r>
      <w:r w:rsidR="00EC5913">
        <w:t>ACER</w:t>
      </w:r>
      <w:r w:rsidRPr="00B83C6E">
        <w:t xml:space="preserve"> anticipates implementing </w:t>
      </w:r>
      <w:r w:rsidR="00564BB1">
        <w:t>a supplemental Declaration of Restrictive Covenant</w:t>
      </w:r>
      <w:r w:rsidRPr="00B83C6E">
        <w:t xml:space="preserve"> and </w:t>
      </w:r>
      <w:r w:rsidR="006C5F4F">
        <w:t>establishing</w:t>
      </w:r>
      <w:r w:rsidRPr="00B83C6E">
        <w:t xml:space="preserve"> a post-closure operating license for the R</w:t>
      </w:r>
      <w:r w:rsidR="00EC5913">
        <w:t>ACER</w:t>
      </w:r>
      <w:r w:rsidRPr="00B83C6E">
        <w:t xml:space="preserve"> Coldwater Road Landfill facility. Once the post closure operating license is </w:t>
      </w:r>
      <w:r w:rsidR="006C5F4F">
        <w:t>established</w:t>
      </w:r>
      <w:bookmarkStart w:id="73" w:name="_GoBack"/>
      <w:bookmarkEnd w:id="73"/>
      <w:r w:rsidRPr="00B83C6E">
        <w:t>, R</w:t>
      </w:r>
      <w:r w:rsidR="00EC5913">
        <w:t>ACER</w:t>
      </w:r>
      <w:r w:rsidRPr="00B83C6E">
        <w:t xml:space="preserve"> will request termination of the CACO.</w:t>
      </w:r>
    </w:p>
    <w:p w:rsidR="00B83C6E" w:rsidRPr="00B83C6E" w:rsidRDefault="00B83C6E" w:rsidP="0093514E"/>
    <w:p w:rsidR="00B83C6E" w:rsidRPr="00B83C6E" w:rsidRDefault="00B83C6E" w:rsidP="0093514E"/>
    <w:p w:rsidR="00B83C6E" w:rsidRPr="00B83C6E" w:rsidRDefault="00B83C6E" w:rsidP="0093514E">
      <w:pPr>
        <w:pStyle w:val="Heading1"/>
      </w:pPr>
      <w:r>
        <w:br w:type="page"/>
      </w:r>
      <w:bookmarkStart w:id="74" w:name="_Toc341774530"/>
      <w:bookmarkStart w:id="75" w:name="_Toc352766956"/>
      <w:r w:rsidR="00B36D5E">
        <w:t xml:space="preserve">5 </w:t>
      </w:r>
      <w:r w:rsidRPr="00B83C6E">
        <w:t>References</w:t>
      </w:r>
      <w:bookmarkEnd w:id="74"/>
      <w:bookmarkEnd w:id="75"/>
    </w:p>
    <w:p w:rsidR="00B83C6E" w:rsidRPr="00B83C6E" w:rsidRDefault="00B83C6E" w:rsidP="0093514E">
      <w:r w:rsidRPr="00B83C6E">
        <w:t xml:space="preserve">Conestoga-Rovers &amp; Associates, </w:t>
      </w:r>
      <w:smartTag w:uri="urn:schemas-microsoft-com:office:smarttags" w:element="date">
        <w:smartTagPr>
          <w:attr w:name="Year" w:val="2000"/>
          <w:attr w:name="Day" w:val="30"/>
          <w:attr w:name="Month" w:val="11"/>
          <w:attr w:name="ls" w:val="trans"/>
        </w:smartTagPr>
        <w:r w:rsidRPr="00B83C6E">
          <w:t>November 30, 2000</w:t>
        </w:r>
      </w:smartTag>
      <w:r w:rsidRPr="00B83C6E">
        <w:t xml:space="preserve">, RCRA Facility Investigation (RFI) Report Former Peregrine (US), </w:t>
      </w:r>
      <w:smartTag w:uri="urn:schemas-microsoft-com:office:smarttags" w:element="place">
        <w:smartTag w:uri="urn:schemas-microsoft-com:office:smarttags" w:element="City">
          <w:r w:rsidRPr="00B83C6E">
            <w:t xml:space="preserve">Inc. Coldwater Road Facility </w:t>
          </w:r>
          <w:proofErr w:type="spellStart"/>
          <w:r w:rsidRPr="00B83C6E">
            <w:t>Genessee</w:t>
          </w:r>
          <w:proofErr w:type="spellEnd"/>
          <w:r w:rsidRPr="00B83C6E">
            <w:t xml:space="preserve"> Township</w:t>
          </w:r>
        </w:smartTag>
        <w:r w:rsidRPr="00B83C6E">
          <w:t xml:space="preserve">, </w:t>
        </w:r>
        <w:smartTag w:uri="urn:schemas-microsoft-com:office:smarttags" w:element="State">
          <w:r w:rsidRPr="00B83C6E">
            <w:t>Michigan</w:t>
          </w:r>
        </w:smartTag>
      </w:smartTag>
      <w:r w:rsidRPr="00B83C6E">
        <w:t xml:space="preserve"> (USEPA ID# </w:t>
      </w:r>
      <w:smartTag w:uri="urn:schemas-microsoft-com:office:smarttags" w:element="stockticker">
        <w:r w:rsidRPr="00B83C6E">
          <w:t>MIR</w:t>
        </w:r>
      </w:smartTag>
      <w:r w:rsidRPr="00B83C6E">
        <w:t>000020743).</w:t>
      </w:r>
    </w:p>
    <w:p w:rsidR="00B83C6E" w:rsidRPr="00B83C6E" w:rsidRDefault="00B83C6E" w:rsidP="0093514E">
      <w:r w:rsidRPr="00B83C6E">
        <w:t xml:space="preserve">Conestoga-Rovers &amp; Associates, April 24, 2003, Groundwater Not In An Aquifer (GWNIAA) Evaluation Report Former Peregrine (US), Inc. Coldwater Road Facility </w:t>
      </w:r>
      <w:proofErr w:type="spellStart"/>
      <w:r w:rsidRPr="00B83C6E">
        <w:t>Genessee</w:t>
      </w:r>
      <w:proofErr w:type="spellEnd"/>
      <w:r w:rsidRPr="00B83C6E">
        <w:t xml:space="preserve"> Township, </w:t>
      </w:r>
      <w:smartTag w:uri="urn:schemas-microsoft-com:office:smarttags" w:element="State">
        <w:r w:rsidRPr="00B83C6E">
          <w:t>Michigan</w:t>
        </w:r>
      </w:smartTag>
      <w:r w:rsidRPr="00B83C6E">
        <w:t xml:space="preserve"> (USEPA ID# </w:t>
      </w:r>
      <w:smartTag w:uri="urn:schemas-microsoft-com:office:smarttags" w:element="stockticker">
        <w:r w:rsidRPr="00B83C6E">
          <w:t>MIR</w:t>
        </w:r>
      </w:smartTag>
      <w:r w:rsidRPr="00B83C6E">
        <w:t>000020743).</w:t>
      </w:r>
    </w:p>
    <w:p w:rsidR="00B83C6E" w:rsidRPr="00B83C6E" w:rsidRDefault="00B83C6E" w:rsidP="0093514E">
      <w:r w:rsidRPr="00B83C6E">
        <w:t xml:space="preserve">Conestoga-Rovers &amp; Associates, March 31, 2000, Description of Current Conditions Report Former Peregrine (US), Inc. Coldwater Road Facility </w:t>
      </w:r>
      <w:proofErr w:type="spellStart"/>
      <w:r w:rsidRPr="00B83C6E">
        <w:t>Genessee</w:t>
      </w:r>
      <w:proofErr w:type="spellEnd"/>
      <w:r w:rsidRPr="00B83C6E">
        <w:t xml:space="preserve"> Township, </w:t>
      </w:r>
      <w:smartTag w:uri="urn:schemas-microsoft-com:office:smarttags" w:element="State">
        <w:r w:rsidRPr="00B83C6E">
          <w:t>Michigan</w:t>
        </w:r>
      </w:smartTag>
      <w:r w:rsidRPr="00B83C6E">
        <w:t xml:space="preserve"> (USEPA ID# </w:t>
      </w:r>
      <w:smartTag w:uri="urn:schemas-microsoft-com:office:smarttags" w:element="stockticker">
        <w:r w:rsidRPr="00B83C6E">
          <w:t>MIR</w:t>
        </w:r>
      </w:smartTag>
      <w:r w:rsidRPr="00B83C6E">
        <w:t>000020743).</w:t>
      </w:r>
    </w:p>
    <w:p w:rsidR="00B83C6E" w:rsidRPr="00B83C6E" w:rsidRDefault="00B83C6E" w:rsidP="0093514E">
      <w:r w:rsidRPr="00B83C6E">
        <w:t>Dames &amp; Moore</w:t>
      </w:r>
      <w:proofErr w:type="gramStart"/>
      <w:r w:rsidRPr="00B83C6E">
        <w:t>,1980</w:t>
      </w:r>
      <w:proofErr w:type="gramEnd"/>
      <w:r w:rsidRPr="00B83C6E">
        <w:t xml:space="preserve">. </w:t>
      </w:r>
      <w:proofErr w:type="spellStart"/>
      <w:r w:rsidRPr="00B83C6E">
        <w:t>Hydrogeological</w:t>
      </w:r>
      <w:proofErr w:type="spellEnd"/>
      <w:r w:rsidRPr="00B83C6E">
        <w:t xml:space="preserve"> </w:t>
      </w:r>
      <w:smartTag w:uri="urn:schemas-microsoft-com:office:smarttags" w:element="Street">
        <w:smartTag w:uri="urn:schemas-microsoft-com:office:smarttags" w:element="address">
          <w:r w:rsidRPr="00B83C6E">
            <w:t>Investigation-Coldwater Road</w:t>
          </w:r>
        </w:smartTag>
      </w:smartTag>
      <w:r w:rsidRPr="00B83C6E">
        <w:t xml:space="preserve"> Plant Waste Management </w:t>
      </w:r>
      <w:proofErr w:type="gramStart"/>
      <w:r w:rsidRPr="00B83C6E">
        <w:t>Area.,</w:t>
      </w:r>
      <w:proofErr w:type="gramEnd"/>
      <w:r w:rsidRPr="00B83C6E">
        <w:t xml:space="preserve"> </w:t>
      </w:r>
      <w:smartTag w:uri="urn:schemas-microsoft-com:office:smarttags" w:element="place">
        <w:smartTag w:uri="urn:schemas-microsoft-com:office:smarttags" w:element="City">
          <w:r w:rsidRPr="00B83C6E">
            <w:t>Flint</w:t>
          </w:r>
        </w:smartTag>
        <w:r w:rsidRPr="00B83C6E">
          <w:t xml:space="preserve">, </w:t>
        </w:r>
        <w:smartTag w:uri="urn:schemas-microsoft-com:office:smarttags" w:element="State">
          <w:r w:rsidRPr="00B83C6E">
            <w:t>Michigan</w:t>
          </w:r>
        </w:smartTag>
      </w:smartTag>
      <w:r w:rsidRPr="00B83C6E">
        <w:t>.</w:t>
      </w:r>
    </w:p>
    <w:p w:rsidR="00B83C6E" w:rsidRPr="00B83C6E" w:rsidRDefault="00B83C6E" w:rsidP="0093514E">
      <w:r w:rsidRPr="00B83C6E">
        <w:t>General Motors Corporation, March 1992, Corrective Measures Study.</w:t>
      </w:r>
    </w:p>
    <w:p w:rsidR="00B83C6E" w:rsidRPr="00B83C6E" w:rsidRDefault="00B83C6E" w:rsidP="0093514E">
      <w:proofErr w:type="gramStart"/>
      <w:r w:rsidRPr="00B83C6E">
        <w:t xml:space="preserve">Michigan Department of Environmental Quality, February 7, 1996, </w:t>
      </w:r>
      <w:proofErr w:type="spellStart"/>
      <w:r w:rsidRPr="00B83C6E">
        <w:t>Redesignation</w:t>
      </w:r>
      <w:proofErr w:type="spellEnd"/>
      <w:r w:rsidRPr="00B83C6E">
        <w:t xml:space="preserve"> Approval for General Motors Corporation, Delphi Interior &amp; Lighting Systems.</w:t>
      </w:r>
      <w:proofErr w:type="gramEnd"/>
    </w:p>
    <w:p w:rsidR="00B83C6E" w:rsidRPr="00B83C6E" w:rsidRDefault="00B83C6E" w:rsidP="0093514E">
      <w:r w:rsidRPr="00B83C6E">
        <w:t>Michigan Department of Environmental Quality, September 23, 1997, Closure Plan Modification Request, General Motors Corporation, Coldwater Road Facility, Flint, Michigan MID 005 356 860.</w:t>
      </w:r>
    </w:p>
    <w:p w:rsidR="00B83C6E" w:rsidRPr="00B83C6E" w:rsidRDefault="00B83C6E" w:rsidP="0093514E">
      <w:r w:rsidRPr="00B83C6E">
        <w:t xml:space="preserve">Michigan Department of Environmental Quality, March 26, 1998, Letter of Warning, Financial Capability and Closure of former Drum Storage Area, Peregrine U.S., Inc. Flint Plant; </w:t>
      </w:r>
      <w:smartTag w:uri="urn:schemas-microsoft-com:office:smarttags" w:element="stockticker">
        <w:r w:rsidRPr="00B83C6E">
          <w:t>MIR</w:t>
        </w:r>
      </w:smartTag>
      <w:r w:rsidRPr="00B83C6E">
        <w:t xml:space="preserve"> 000 020 743.</w:t>
      </w:r>
    </w:p>
    <w:p w:rsidR="00B83C6E" w:rsidRPr="00B83C6E" w:rsidRDefault="00B83C6E" w:rsidP="0093514E">
      <w:r w:rsidRPr="00B83C6E">
        <w:t xml:space="preserve">Michigan Department of Environmental Quality, June 27, 2000, Closure Plan Amendment Approval, General Motors/REALM, Coldwater Road facility, Flint, Michigan. </w:t>
      </w:r>
    </w:p>
    <w:p w:rsidR="00B83C6E" w:rsidRPr="00B83C6E" w:rsidRDefault="00B83C6E" w:rsidP="0093514E">
      <w:r w:rsidRPr="00B83C6E">
        <w:t xml:space="preserve">Michigan Department of Environmental Quality, April 19, 2002, Sampling Plan for former Drum Storage Area and Waste Pile Pad, REALM Coldwater Road Landfill, </w:t>
      </w:r>
      <w:smartTag w:uri="urn:schemas-microsoft-com:office:smarttags" w:element="stockticker">
        <w:r w:rsidRPr="00B83C6E">
          <w:t>MIR</w:t>
        </w:r>
      </w:smartTag>
      <w:r w:rsidRPr="00B83C6E">
        <w:t xml:space="preserve"> 000 020 743.</w:t>
      </w:r>
    </w:p>
    <w:p w:rsidR="00B83C6E" w:rsidRPr="00B83C6E" w:rsidRDefault="00B83C6E" w:rsidP="0093514E">
      <w:proofErr w:type="gramStart"/>
      <w:r w:rsidRPr="00B83C6E">
        <w:t>Michigan Department of Environmental Quality, March 24, 2005, Final Closure Certification Documentation REALM Coldwater Road Landfill; MID 005 356 860.</w:t>
      </w:r>
      <w:proofErr w:type="gramEnd"/>
    </w:p>
    <w:p w:rsidR="00B83C6E" w:rsidRPr="00B83C6E" w:rsidRDefault="00B83C6E" w:rsidP="0093514E">
      <w:proofErr w:type="gramStart"/>
      <w:r w:rsidRPr="00B83C6E">
        <w:t>O'Brien &amp; Gere Engineers, Inc., August 1989, Closure Plan and Post-Closure Plan, General Motors Corporation, Fisher Guide Division, Flint, Michigan.</w:t>
      </w:r>
      <w:proofErr w:type="gramEnd"/>
    </w:p>
    <w:p w:rsidR="00B83C6E" w:rsidRPr="00B83C6E" w:rsidRDefault="00B83C6E" w:rsidP="0093514E">
      <w:r w:rsidRPr="00B83C6E">
        <w:t xml:space="preserve">O'Brien &amp; Gere Engineers, Inc., October 1994, Delisting Petition Work Plan, Inland </w:t>
      </w:r>
      <w:smartTag w:uri="urn:schemas:contacts" w:element="Sn">
        <w:r w:rsidRPr="00B83C6E">
          <w:t>Fisher</w:t>
        </w:r>
      </w:smartTag>
      <w:r w:rsidRPr="00B83C6E">
        <w:t xml:space="preserve"> Guide Division of General Motors Corporation, </w:t>
      </w:r>
      <w:smartTag w:uri="urn:schemas-microsoft-com:office:smarttags" w:element="City">
        <w:r w:rsidRPr="00B83C6E">
          <w:t>Flint</w:t>
        </w:r>
      </w:smartTag>
      <w:r w:rsidRPr="00B83C6E">
        <w:t xml:space="preserve"> Coldwater Plant, </w:t>
      </w:r>
      <w:proofErr w:type="gramStart"/>
      <w:smartTag w:uri="urn:schemas-microsoft-com:office:smarttags" w:element="place">
        <w:r w:rsidRPr="00B83C6E">
          <w:t>Flint</w:t>
        </w:r>
        <w:proofErr w:type="gramEnd"/>
        <w:r w:rsidRPr="00B83C6E">
          <w:t xml:space="preserve">, </w:t>
        </w:r>
        <w:smartTag w:uri="urn:schemas-microsoft-com:office:smarttags" w:element="State">
          <w:r w:rsidRPr="00B83C6E">
            <w:t>Michigan</w:t>
          </w:r>
        </w:smartTag>
      </w:smartTag>
      <w:r w:rsidRPr="00B83C6E">
        <w:t>.</w:t>
      </w:r>
    </w:p>
    <w:p w:rsidR="00B83C6E" w:rsidRPr="00B83C6E" w:rsidRDefault="00B83C6E" w:rsidP="0093514E">
      <w:proofErr w:type="gramStart"/>
      <w:r w:rsidRPr="00B83C6E">
        <w:t>O'Brien &amp; Gere Engineers, Inc., January 1995, Delisting Petition, Inland Fisher Guide Division, General Motors Corporation, Flint Coldwater Road Plant, Flint, Michigan.</w:t>
      </w:r>
      <w:proofErr w:type="gramEnd"/>
    </w:p>
    <w:p w:rsidR="00B83C6E" w:rsidRPr="00B83C6E" w:rsidRDefault="00B83C6E" w:rsidP="0093514E">
      <w:proofErr w:type="gramStart"/>
      <w:r w:rsidRPr="00B83C6E">
        <w:t>O'Brien &amp; Gere Engineers, Inc., April 1997, Closure Plan Modification Request, Coldwater Road, Flint, Michigan.</w:t>
      </w:r>
      <w:proofErr w:type="gramEnd"/>
    </w:p>
    <w:p w:rsidR="00B83C6E" w:rsidRPr="00B83C6E" w:rsidRDefault="00B83C6E" w:rsidP="0093514E">
      <w:proofErr w:type="gramStart"/>
      <w:r w:rsidRPr="00B83C6E">
        <w:t>O'Brien &amp; Gere Engineers, Inc., June 1999, Subsurface Investigation of Decontamination Pits/Sump and Chromium Reduction Basins Coldwater Road, Flint, Michigan.</w:t>
      </w:r>
      <w:proofErr w:type="gramEnd"/>
    </w:p>
    <w:p w:rsidR="00B83C6E" w:rsidRPr="00B83C6E" w:rsidRDefault="00B83C6E" w:rsidP="0093514E">
      <w:r w:rsidRPr="00B83C6E">
        <w:t xml:space="preserve">O'Brien &amp; Gere Engineers, Inc., </w:t>
      </w:r>
      <w:smartTag w:uri="urn:schemas-microsoft-com:office:smarttags" w:element="date">
        <w:smartTagPr>
          <w:attr w:name="Year" w:val="2000"/>
          <w:attr w:name="Day" w:val="16"/>
          <w:attr w:name="Month" w:val="2"/>
          <w:attr w:name="ls" w:val="trans"/>
        </w:smartTagPr>
        <w:r w:rsidRPr="00B83C6E">
          <w:t>February 16, 2000</w:t>
        </w:r>
      </w:smartTag>
      <w:r w:rsidRPr="00B83C6E">
        <w:t xml:space="preserve">, former Drum Storage Area Closure Plan and Closure Plan Amendment, GM/REALM Coldwater Road Facility, Flint, Michigan- EPA </w:t>
      </w:r>
      <w:smartTag w:uri="urn:schemas-microsoft-com:office:smarttags" w:element="stockticker">
        <w:r w:rsidRPr="00B83C6E">
          <w:t>MIR</w:t>
        </w:r>
      </w:smartTag>
      <w:r w:rsidRPr="00B83C6E">
        <w:t xml:space="preserve"> 000 020 743.</w:t>
      </w:r>
    </w:p>
    <w:p w:rsidR="00B83C6E" w:rsidRPr="00B83C6E" w:rsidRDefault="00B83C6E" w:rsidP="0093514E">
      <w:r w:rsidRPr="00B83C6E">
        <w:t xml:space="preserve">O'Brien &amp; Gere Engineers, Inc., November 2000, Part I Final Closure Certification Documentation, </w:t>
      </w:r>
      <w:smartTag w:uri="urn:schemas-microsoft-com:office:smarttags" w:element="Street">
        <w:smartTag w:uri="urn:schemas-microsoft-com:office:smarttags" w:element="address">
          <w:r w:rsidRPr="00B83C6E">
            <w:t>REALM Coldwater Road</w:t>
          </w:r>
        </w:smartTag>
      </w:smartTag>
      <w:r w:rsidRPr="00B83C6E">
        <w:t xml:space="preserve"> Facility, </w:t>
      </w:r>
      <w:smartTag w:uri="urn:schemas-microsoft-com:office:smarttags" w:element="address">
        <w:smartTag w:uri="urn:schemas-microsoft-com:office:smarttags" w:element="Street">
          <w:r w:rsidRPr="00B83C6E">
            <w:t>6220 Horton Street</w:t>
          </w:r>
        </w:smartTag>
        <w:r w:rsidRPr="00B83C6E">
          <w:t xml:space="preserve"> </w:t>
        </w:r>
        <w:smartTag w:uri="urn:schemas-microsoft-com:office:smarttags" w:element="City">
          <w:r w:rsidRPr="00B83C6E">
            <w:t>Flint</w:t>
          </w:r>
        </w:smartTag>
        <w:r w:rsidRPr="00B83C6E">
          <w:t xml:space="preserve">, </w:t>
        </w:r>
        <w:smartTag w:uri="urn:schemas-microsoft-com:office:smarttags" w:element="State">
          <w:r w:rsidRPr="00B83C6E">
            <w:t>Michigan</w:t>
          </w:r>
        </w:smartTag>
      </w:smartTag>
      <w:r w:rsidRPr="00B83C6E">
        <w:t xml:space="preserve"> (MID 005356860).</w:t>
      </w:r>
    </w:p>
    <w:p w:rsidR="00B83C6E" w:rsidRPr="00B83C6E" w:rsidRDefault="00B83C6E" w:rsidP="0093514E">
      <w:proofErr w:type="gramStart"/>
      <w:r w:rsidRPr="00B83C6E">
        <w:t>O'Brien &amp; Gere Engineers, Inc., November 2000, Former Wastewater Treatment Plant Basin Investigation, Coldwater Road Facility, Flint, Michigan.</w:t>
      </w:r>
      <w:proofErr w:type="gramEnd"/>
    </w:p>
    <w:p w:rsidR="00B83C6E" w:rsidRPr="00B83C6E" w:rsidRDefault="00B83C6E" w:rsidP="0093514E"/>
    <w:p w:rsidR="00B83C6E" w:rsidRPr="00B83C6E" w:rsidRDefault="00B83C6E" w:rsidP="0093514E">
      <w:r w:rsidRPr="00B83C6E">
        <w:t xml:space="preserve">O'Brien &amp; Gere Engineers, Inc., February 2004, Former Drum Storage Area Work Plan, Coldwater Road facility, Flint, Michigan- EPA I.D. No. </w:t>
      </w:r>
      <w:proofErr w:type="gramStart"/>
      <w:smartTag w:uri="urn:schemas-microsoft-com:office:smarttags" w:element="stockticker">
        <w:r w:rsidRPr="00B83C6E">
          <w:t>MIR</w:t>
        </w:r>
      </w:smartTag>
      <w:r w:rsidRPr="00B83C6E">
        <w:t xml:space="preserve"> 000 020 743.</w:t>
      </w:r>
      <w:proofErr w:type="gramEnd"/>
      <w:r w:rsidRPr="00B83C6E">
        <w:t xml:space="preserve"> </w:t>
      </w:r>
    </w:p>
    <w:p w:rsidR="00B83C6E" w:rsidRPr="00B83C6E" w:rsidRDefault="00B83C6E" w:rsidP="0093514E">
      <w:proofErr w:type="gramStart"/>
      <w:r w:rsidRPr="00B83C6E">
        <w:t>O’Brien &amp; Gere Engineers, Inc., January 2005, Addendum to the June 1999 Closure Certification Report for the Former Drum Storage Area at the Former Peregrine, U.S., Inc. Property at the Coldwater Road Facility.</w:t>
      </w:r>
      <w:proofErr w:type="gramEnd"/>
    </w:p>
    <w:p w:rsidR="00B83C6E" w:rsidRPr="00B83C6E" w:rsidRDefault="00B83C6E" w:rsidP="0093514E">
      <w:r w:rsidRPr="00B83C6E">
        <w:t xml:space="preserve">O'Brien &amp; Gere Engineers, Inc., December 2006, Former Wastewater Treatment Plant Work Plan, Coldwater Road facility, Flint, Michigan- EPA I.D. No. </w:t>
      </w:r>
      <w:proofErr w:type="gramStart"/>
      <w:r w:rsidRPr="00B83C6E">
        <w:t>MID 005 356 860.</w:t>
      </w:r>
      <w:proofErr w:type="gramEnd"/>
      <w:r w:rsidRPr="00B83C6E">
        <w:t xml:space="preserve"> </w:t>
      </w:r>
    </w:p>
    <w:p w:rsidR="00B83C6E" w:rsidRPr="00B83C6E" w:rsidRDefault="00B83C6E" w:rsidP="0093514E">
      <w:proofErr w:type="gramStart"/>
      <w:r w:rsidRPr="00B83C6E">
        <w:t>O'Brien &amp; Gere Engineers, Inc., Quality Assurance Project Plan, Former Wastewater Treatment Plant, May 2007, Coldwater Road Landfill, Flint, Michigan- EPA I.D. No.</w:t>
      </w:r>
      <w:proofErr w:type="gramEnd"/>
      <w:r w:rsidRPr="00B83C6E">
        <w:t xml:space="preserve"> </w:t>
      </w:r>
      <w:proofErr w:type="gramStart"/>
      <w:r w:rsidRPr="00B83C6E">
        <w:t>MID 005 356 860.</w:t>
      </w:r>
      <w:proofErr w:type="gramEnd"/>
    </w:p>
    <w:p w:rsidR="00B83C6E" w:rsidRPr="00B83C6E" w:rsidRDefault="00B83C6E" w:rsidP="0093514E">
      <w:proofErr w:type="gramStart"/>
      <w:r w:rsidRPr="00B83C6E">
        <w:t>O'Brien &amp; Gere Engineers, Inc., September 2008, Addendum to the June 1999 Closure Certification Report for the Former Wastewater Treatment Plant at the Coldwater Road Facility.</w:t>
      </w:r>
      <w:proofErr w:type="gramEnd"/>
      <w:r w:rsidRPr="00B83C6E">
        <w:t xml:space="preserve"> </w:t>
      </w:r>
    </w:p>
    <w:p w:rsidR="00855219" w:rsidRPr="005F18AE" w:rsidRDefault="00855219" w:rsidP="0093514E">
      <w:proofErr w:type="spellStart"/>
      <w:proofErr w:type="gramStart"/>
      <w:r>
        <w:t>ProUCL</w:t>
      </w:r>
      <w:proofErr w:type="spellEnd"/>
      <w:r>
        <w:t xml:space="preserve"> 4.1.01</w:t>
      </w:r>
      <w:r w:rsidR="005F18AE">
        <w:t>.</w:t>
      </w:r>
      <w:proofErr w:type="gramEnd"/>
      <w:r w:rsidR="005F18AE">
        <w:t xml:space="preserve"> A Statistical Software for Environmental Applications for Data Sets with and without </w:t>
      </w:r>
      <w:proofErr w:type="spellStart"/>
      <w:r w:rsidR="005F18AE">
        <w:t>nondetect</w:t>
      </w:r>
      <w:proofErr w:type="spellEnd"/>
      <w:r w:rsidR="005F18AE">
        <w:t xml:space="preserve"> observations. National Exposure Research </w:t>
      </w:r>
      <w:r w:rsidR="00560383">
        <w:t>L</w:t>
      </w:r>
      <w:r w:rsidR="005F18AE">
        <w:t>ab, EPA, Las Vegas, Nevada, May 2010.</w:t>
      </w:r>
    </w:p>
    <w:p w:rsidR="00B83C6E" w:rsidRPr="00B83C6E" w:rsidRDefault="00B83C6E" w:rsidP="0093514E">
      <w:r w:rsidRPr="00B83C6E">
        <w:t>State of Michigan, Department of Natural Resources, September 7, 1989, GMC Fisher Guide, Coldwater Road Closure Plan, MID 005 356 860.</w:t>
      </w:r>
    </w:p>
    <w:p w:rsidR="00B83C6E" w:rsidRPr="00B83C6E" w:rsidRDefault="00B83C6E" w:rsidP="0093514E">
      <w:r w:rsidRPr="00B83C6E">
        <w:t xml:space="preserve">State of Michigan, Department of Natural Resources, Waste Management Division, October 29, 1992, Corrective Action Consent Order General Motors Corporation, Inland Fisher Guide Division, G1245 East Coldwater Road, City of Flint, County of </w:t>
      </w:r>
      <w:proofErr w:type="spellStart"/>
      <w:r w:rsidRPr="00B83C6E">
        <w:t>Genessee</w:t>
      </w:r>
      <w:proofErr w:type="spellEnd"/>
      <w:r w:rsidRPr="00B83C6E">
        <w:t>, State of Michigan.</w:t>
      </w:r>
    </w:p>
    <w:p w:rsidR="00B83C6E" w:rsidRPr="00B83C6E" w:rsidRDefault="00B83C6E" w:rsidP="0093514E">
      <w:proofErr w:type="gramStart"/>
      <w:r w:rsidRPr="00B83C6E">
        <w:t>Roy F. Weston, Inc., November 1994, Draft Closure Certification Documentation Package, Inland Fisher Guide Division, General Motors Corporation Surface Remediation Project Coldwater Road Plant, Flint, Michigan (EPA ID No.</w:t>
      </w:r>
      <w:proofErr w:type="gramEnd"/>
      <w:r w:rsidRPr="00B83C6E">
        <w:t xml:space="preserve"> </w:t>
      </w:r>
      <w:proofErr w:type="gramStart"/>
      <w:r w:rsidRPr="00B83C6E">
        <w:t>MID 005356860).</w:t>
      </w:r>
      <w:proofErr w:type="gramEnd"/>
    </w:p>
    <w:p w:rsidR="00B83C6E" w:rsidRPr="00B83C6E" w:rsidRDefault="00B83C6E" w:rsidP="0093514E">
      <w:r w:rsidRPr="00B83C6E">
        <w:t xml:space="preserve">Roy F. Weston, Inc., September 1998, Final Closure Certification Documentation Package, Decontamination Pits and Sump, Chromium Reduction Basins at the WWTP, Surface Remediation Project, Coldwater Road Plant, Flint, Michigan (EPA I.D. No. </w:t>
      </w:r>
      <w:proofErr w:type="gramStart"/>
      <w:r w:rsidRPr="00B83C6E">
        <w:t>MID 005356860).</w:t>
      </w:r>
      <w:proofErr w:type="gramEnd"/>
    </w:p>
    <w:p w:rsidR="00B83C6E" w:rsidRPr="00B83C6E" w:rsidRDefault="00B83C6E" w:rsidP="0093514E">
      <w:r w:rsidRPr="00B83C6E">
        <w:t xml:space="preserve">Roy F. Weston, Inc., June 1999, Closure Certification Documentation Package for the former Drum Storage Area and Waste Pile Pad, Former GMC Inland Fisher Guide Coldwater Road Plant, Flint, Michigan (EPA ID No. </w:t>
      </w:r>
      <w:proofErr w:type="gramStart"/>
      <w:r w:rsidRPr="00B83C6E">
        <w:t>MID 005356860).</w:t>
      </w:r>
      <w:proofErr w:type="gramEnd"/>
    </w:p>
    <w:p w:rsidR="00B83C6E" w:rsidRPr="00B83C6E" w:rsidRDefault="00B83C6E" w:rsidP="0093514E">
      <w:proofErr w:type="gramStart"/>
      <w:r w:rsidRPr="00B83C6E">
        <w:t>Roy F. Weston, Inc., November 2000, Part II Final Closure Certification Documentation, Surface Remediation Project, Coldwater Road Plant, Flint, Michigan (EPA I.D. No.</w:t>
      </w:r>
      <w:proofErr w:type="gramEnd"/>
      <w:r w:rsidRPr="00B83C6E">
        <w:t xml:space="preserve"> </w:t>
      </w:r>
      <w:proofErr w:type="gramStart"/>
      <w:r w:rsidRPr="00B83C6E">
        <w:t>MID 005356860).</w:t>
      </w:r>
      <w:proofErr w:type="gramEnd"/>
    </w:p>
    <w:p w:rsidR="00B83C6E" w:rsidRPr="00B83C6E" w:rsidRDefault="00B83C6E" w:rsidP="0093514E">
      <w:r w:rsidRPr="00B83C6E">
        <w:t xml:space="preserve">USEPA 2010, </w:t>
      </w:r>
      <w:proofErr w:type="spellStart"/>
      <w:r w:rsidRPr="00B83C6E">
        <w:rPr>
          <w:bCs/>
          <w:lang w:val="fr-FR"/>
        </w:rPr>
        <w:t>ProUCL</w:t>
      </w:r>
      <w:proofErr w:type="spellEnd"/>
      <w:r w:rsidRPr="00B83C6E">
        <w:rPr>
          <w:bCs/>
          <w:lang w:val="fr-FR"/>
        </w:rPr>
        <w:t xml:space="preserve"> Version 4.1.00 </w:t>
      </w:r>
      <w:proofErr w:type="spellStart"/>
      <w:r w:rsidRPr="00B83C6E">
        <w:rPr>
          <w:bCs/>
          <w:lang w:val="fr-FR"/>
        </w:rPr>
        <w:t>Technical</w:t>
      </w:r>
      <w:proofErr w:type="spellEnd"/>
      <w:r w:rsidRPr="00B83C6E">
        <w:rPr>
          <w:bCs/>
          <w:lang w:val="fr-FR"/>
        </w:rPr>
        <w:t xml:space="preserve"> Guide, </w:t>
      </w:r>
      <w:r w:rsidRPr="00B83C6E">
        <w:t xml:space="preserve">Statistical Software for Environmental Applications for Data Sets with and without </w:t>
      </w:r>
      <w:proofErr w:type="spellStart"/>
      <w:r w:rsidRPr="00B83C6E">
        <w:t>Nondetect</w:t>
      </w:r>
      <w:proofErr w:type="spellEnd"/>
      <w:r w:rsidRPr="00B83C6E">
        <w:t xml:space="preserve"> Observations</w:t>
      </w:r>
    </w:p>
    <w:p w:rsidR="00B83C6E" w:rsidRPr="00B83C6E" w:rsidRDefault="00B83C6E" w:rsidP="0093514E"/>
    <w:p w:rsidR="00B83C6E" w:rsidRDefault="00B83C6E" w:rsidP="0093514E"/>
    <w:sectPr w:rsidR="00B83C6E" w:rsidSect="00C20B69">
      <w:footerReference w:type="default" r:id="rId13"/>
      <w:pgSz w:w="12240" w:h="15840" w:code="1"/>
      <w:pgMar w:top="1440" w:right="1080" w:bottom="547" w:left="1080" w:header="1008" w:footer="576" w:gutter="0"/>
      <w:pgNumType w:start="1"/>
      <w:cols w:space="36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3C2" w:rsidRDefault="003D23C2" w:rsidP="0093514E">
      <w:r>
        <w:separator/>
      </w:r>
    </w:p>
    <w:p w:rsidR="003D23C2" w:rsidRDefault="003D23C2" w:rsidP="0093514E"/>
  </w:endnote>
  <w:endnote w:type="continuationSeparator" w:id="0">
    <w:p w:rsidR="003D23C2" w:rsidRDefault="003D23C2" w:rsidP="0093514E">
      <w:r>
        <w:continuationSeparator/>
      </w:r>
    </w:p>
    <w:p w:rsidR="003D23C2" w:rsidRDefault="003D23C2" w:rsidP="0093514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C2" w:rsidRDefault="003D23C2" w:rsidP="0093514E">
    <w:pPr>
      <w:pStyle w:val="Footer"/>
    </w:pPr>
  </w:p>
  <w:p w:rsidR="003D23C2" w:rsidRDefault="003D23C2" w:rsidP="0093514E"/>
  <w:p w:rsidR="003D23C2" w:rsidRDefault="003D23C2" w:rsidP="0093514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C2" w:rsidRDefault="003D23C2" w:rsidP="0093514E">
    <w:pPr>
      <w:pStyle w:val="Footer"/>
    </w:pPr>
    <w:r>
      <w:rPr>
        <w:noProof/>
      </w:rPr>
      <w:drawing>
        <wp:anchor distT="0" distB="0" distL="114300" distR="114300" simplePos="0" relativeHeight="251657728" behindDoc="0" locked="0" layoutInCell="1" allowOverlap="1">
          <wp:simplePos x="0" y="0"/>
          <wp:positionH relativeFrom="column">
            <wp:posOffset>5033010</wp:posOffset>
          </wp:positionH>
          <wp:positionV relativeFrom="paragraph">
            <wp:posOffset>87630</wp:posOffset>
          </wp:positionV>
          <wp:extent cx="1395095" cy="255905"/>
          <wp:effectExtent l="1905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395095" cy="255905"/>
                  </a:xfrm>
                  <a:prstGeom prst="rect">
                    <a:avLst/>
                  </a:prstGeom>
                  <a:noFill/>
                </pic:spPr>
              </pic:pic>
            </a:graphicData>
          </a:graphic>
        </wp:anchor>
      </w:drawing>
    </w:r>
    <w:r w:rsidR="00610D3A" w:rsidRPr="00610D3A">
      <w:rPr>
        <w:noProof/>
        <w:sz w:val="24"/>
      </w:rPr>
      <w:pict>
        <v:line id="Line 4" o:spid="_x0000_s4098"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3.7pt" to="507.8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" o:allowincell="f" strokecolor="#76b23f" strokeweight="1.5pt"/>
      </w:pict>
    </w:r>
    <w:r w:rsidR="00610D3A" w:rsidRPr="002D17B9">
      <w:rPr>
        <w:rStyle w:val="PageNumbersChar"/>
      </w:rPr>
      <w:fldChar w:fldCharType="begin"/>
    </w:r>
    <w:r w:rsidRPr="002D17B9">
      <w:rPr>
        <w:rStyle w:val="PageNumbersChar"/>
      </w:rPr>
      <w:instrText xml:space="preserve"> PAGE   \* MERGEFORMAT </w:instrText>
    </w:r>
    <w:r w:rsidR="00610D3A" w:rsidRPr="002D17B9">
      <w:rPr>
        <w:rStyle w:val="PageNumbersChar"/>
      </w:rPr>
      <w:fldChar w:fldCharType="separate"/>
    </w:r>
    <w:r w:rsidR="00303DD8">
      <w:rPr>
        <w:rStyle w:val="PageNumbersChar"/>
        <w:noProof/>
      </w:rPr>
      <w:t>vi</w:t>
    </w:r>
    <w:r w:rsidR="00610D3A" w:rsidRPr="002D17B9">
      <w:rPr>
        <w:rStyle w:val="PageNumbersChar"/>
      </w:rPr>
      <w:fldChar w:fldCharType="end"/>
    </w:r>
    <w:r w:rsidRPr="002D17B9">
      <w:rPr>
        <w:rStyle w:val="PageNumbersChar"/>
      </w:rPr>
      <w:t xml:space="preserve"> </w:t>
    </w:r>
    <w:r w:rsidRPr="002D17B9">
      <w:t xml:space="preserve">| </w:t>
    </w:r>
    <w:r>
      <w:t>Final</w:t>
    </w:r>
    <w:r w:rsidRPr="002D17B9">
      <w:t xml:space="preserve">: </w:t>
    </w:r>
    <w:r w:rsidR="00AE09E9">
      <w:t>April</w:t>
    </w:r>
    <w:r>
      <w:t xml:space="preserve"> 2013 </w:t>
    </w:r>
  </w:p>
  <w:p w:rsidR="003D23C2" w:rsidRDefault="00610D3A" w:rsidP="0093514E">
    <w:pPr>
      <w:pStyle w:val="Footer"/>
    </w:pPr>
    <w:fldSimple w:instr=" FILENAME  \* Lower \p  \* MERGEFORMAT ">
      <w:r w:rsidR="003D23C2">
        <w:rPr>
          <w:noProof/>
        </w:rPr>
        <w:t xml:space="preserve">i:\racer-trust.15388\48630.racer-11030-col\docs\reports\wwtp closure cert\racer closure report - </w:t>
      </w:r>
      <w:r w:rsidR="00882C43">
        <w:rPr>
          <w:noProof/>
        </w:rPr>
        <w:t>final</w:t>
      </w:r>
      <w:r w:rsidR="003D23C2">
        <w:rPr>
          <w:noProof/>
        </w:rPr>
        <w:t xml:space="preserve"> </w:t>
      </w:r>
      <w:r w:rsidR="00882C43">
        <w:rPr>
          <w:noProof/>
        </w:rPr>
        <w:t>4-3</w:t>
      </w:r>
      <w:r w:rsidR="003D23C2">
        <w:rPr>
          <w:noProof/>
        </w:rPr>
        <w:t>-2013.docx</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C2" w:rsidRDefault="003D23C2" w:rsidP="0093514E"/>
  <w:p w:rsidR="003D23C2" w:rsidRPr="000164A2" w:rsidRDefault="003D23C2" w:rsidP="0093514E">
    <w:r w:rsidRPr="005908EA">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C2" w:rsidRDefault="003D23C2" w:rsidP="0093514E">
    <w:pPr>
      <w:pStyle w:val="Footer"/>
    </w:pPr>
    <w:r>
      <w:rPr>
        <w:noProof/>
      </w:rPr>
      <w:drawing>
        <wp:anchor distT="0" distB="0" distL="114300" distR="114300" simplePos="0" relativeHeight="251659776" behindDoc="0" locked="0" layoutInCell="1" allowOverlap="1">
          <wp:simplePos x="0" y="0"/>
          <wp:positionH relativeFrom="column">
            <wp:posOffset>5033010</wp:posOffset>
          </wp:positionH>
          <wp:positionV relativeFrom="paragraph">
            <wp:posOffset>87630</wp:posOffset>
          </wp:positionV>
          <wp:extent cx="1395095" cy="255905"/>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1395095" cy="255905"/>
                  </a:xfrm>
                  <a:prstGeom prst="rect">
                    <a:avLst/>
                  </a:prstGeom>
                  <a:noFill/>
                </pic:spPr>
              </pic:pic>
            </a:graphicData>
          </a:graphic>
        </wp:anchor>
      </w:drawing>
    </w:r>
    <w:r w:rsidR="00610D3A" w:rsidRPr="00610D3A">
      <w:rPr>
        <w:noProof/>
        <w:sz w:val="24"/>
      </w:rPr>
      <w:pict>
        <v:line id="Line 5" o:spid="_x0000_s409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3.7pt" to="507.8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" o:allowincell="f" strokecolor="#76b23f" strokeweight="1.5pt"/>
      </w:pict>
    </w:r>
    <w:r w:rsidR="00610D3A" w:rsidRPr="002D17B9">
      <w:rPr>
        <w:rStyle w:val="PageNumbersChar"/>
      </w:rPr>
      <w:fldChar w:fldCharType="begin"/>
    </w:r>
    <w:r w:rsidRPr="002D17B9">
      <w:rPr>
        <w:rStyle w:val="PageNumbersChar"/>
      </w:rPr>
      <w:instrText xml:space="preserve"> PAGE   \* MERGEFORMAT </w:instrText>
    </w:r>
    <w:r w:rsidR="00610D3A" w:rsidRPr="002D17B9">
      <w:rPr>
        <w:rStyle w:val="PageNumbersChar"/>
      </w:rPr>
      <w:fldChar w:fldCharType="separate"/>
    </w:r>
    <w:r w:rsidR="00303DD8">
      <w:rPr>
        <w:rStyle w:val="PageNumbersChar"/>
        <w:noProof/>
      </w:rPr>
      <w:t>20</w:t>
    </w:r>
    <w:r w:rsidR="00610D3A" w:rsidRPr="002D17B9">
      <w:rPr>
        <w:rStyle w:val="PageNumbersChar"/>
      </w:rPr>
      <w:fldChar w:fldCharType="end"/>
    </w:r>
    <w:r w:rsidRPr="002D17B9">
      <w:rPr>
        <w:rStyle w:val="PageNumbersChar"/>
      </w:rPr>
      <w:t xml:space="preserve"> </w:t>
    </w:r>
    <w:r w:rsidRPr="002D17B9">
      <w:t xml:space="preserve">| </w:t>
    </w:r>
    <w:r>
      <w:t xml:space="preserve">Final: </w:t>
    </w:r>
    <w:r w:rsidR="00303DD8">
      <w:t>April</w:t>
    </w:r>
    <w:r>
      <w:t xml:space="preserve"> 2013 </w:t>
    </w:r>
  </w:p>
  <w:p w:rsidR="003D23C2" w:rsidRDefault="00610D3A" w:rsidP="0093514E">
    <w:pPr>
      <w:pStyle w:val="Footer"/>
    </w:pPr>
    <w:fldSimple w:instr=" FILENAME  \p  \* MERGEFORMAT ">
      <w:r w:rsidR="003D23C2">
        <w:rPr>
          <w:noProof/>
        </w:rPr>
        <w:t>I:\Racer-Trust.15388\48630.Racer-11030-Col\Docs\Reports\WWTP Closure Cert\RACER Closure Report - final 4-3-2013.docx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3C2" w:rsidRDefault="003D23C2" w:rsidP="0093514E">
      <w:r>
        <w:separator/>
      </w:r>
    </w:p>
  </w:footnote>
  <w:footnote w:type="continuationSeparator" w:id="0">
    <w:p w:rsidR="003D23C2" w:rsidRDefault="003D23C2" w:rsidP="0093514E">
      <w:r>
        <w:continuationSeparator/>
      </w:r>
    </w:p>
    <w:p w:rsidR="003D23C2" w:rsidRDefault="003D23C2" w:rsidP="0093514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C2" w:rsidRPr="000C481F" w:rsidRDefault="00610D3A" w:rsidP="0093514E">
    <w:pPr>
      <w:rPr>
        <w:rFonts w:ascii="Calibri" w:hAnsi="Calibri"/>
      </w:rPr>
    </w:pPr>
    <w:r w:rsidRPr="00610D3A">
      <w:rPr>
        <w:noProof/>
      </w:rPr>
      <w:pict>
        <v:group id="Group 1" o:spid="_x0000_s4099" style="position:absolute;margin-left:-3.6pt;margin-top:-16.7pt;width:511.2pt;height:23.55pt;z-index:-251660800" coordorigin="1008,792" coordsize="10224,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">
          <v:rect id="Rectangle 2" o:spid="_x0000_s4101" style="position:absolute;left:1008;top:792;width:1022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dnEsIA&#10;AADaAAAADwAAAGRycy9kb3ducmV2LnhtbESP3YrCMBSE7xd8h3AE79ZU0arVKCIIiy7+g7eH5tgW&#10;m5PSZLW+vVlY2MthZr5hZovGlOJBtSssK+h1IxDEqdUFZwou5/XnGITzyBpLy6TgRQ4W89bHDBNt&#10;n3ykx8lnIkDYJagg975KpHRpTgZd11bEwbvZ2qAPss6krvEZ4KaU/SiKpcGCw0KOFa1ySu+nHxMo&#10;8SQdm3K3GQ2/G9oclvtrvL0p1Wk3yykIT43/D/+1v7SCAfxeCTd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2cSwgAAANoAAAAPAAAAAAAAAAAAAAAAAJgCAABkcnMvZG93&#10;bnJldi54bWxQSwUGAAAAAAQABAD1AAAAhwMAAAAA&#10;" fillcolor="#00467f" stroked="f">
            <v:textbox inset=",,,0">
              <w:txbxContent>
                <w:p w:rsidR="003D23C2" w:rsidRPr="008A5D53" w:rsidRDefault="003D23C2" w:rsidP="0093514E">
                  <w:pPr>
                    <w:pStyle w:val="HeaderStyle"/>
                  </w:pPr>
                  <w:r>
                    <w:t>Racer 2013 Addendum to June 1999 Closure Certification Report – Former WWTP</w:t>
                  </w:r>
                </w:p>
                <w:p w:rsidR="003D23C2" w:rsidRPr="002D0D56" w:rsidRDefault="003D23C2" w:rsidP="0093514E"/>
              </w:txbxContent>
            </v:textbox>
          </v:rect>
          <v:line id="Line 3" o:spid="_x0000_s4100" style="position:absolute;visibility:visible;mso-wrap-style:square" from="1008,1263" to="11232,1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j3ucMAAADaAAAADwAAAGRycy9kb3ducmV2LnhtbESPQWsCMRSE7wX/Q3iCt5ooKHU1iogV&#10;6aVV9+LtsXnuLm5elk26xn/fFAo9DjPzDbPaRNuInjpfO9YwGSsQxIUzNZca8sv76xsIH5ANNo5J&#10;w5M8bNaDlxVmxj34RP05lCJB2GeooQqhzaT0RUUW/di1xMm7uc5iSLIrpenwkeC2kVOl5tJizWmh&#10;wpZ2FRX387fVsLje8/xr/3HYzuLnrj3E/aVXSuvRMG6XIALF8B/+ax+Nhjn8Xkk3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Y97nDAAAA2gAAAA8AAAAAAAAAAAAA&#10;AAAAoQIAAGRycy9kb3ducmV2LnhtbFBLBQYAAAAABAAEAPkAAACRAwAAAAA=&#10;" strokecolor="#76b23f" strokeweight="3pt"/>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C2" w:rsidRPr="00B215BA" w:rsidRDefault="003D23C2" w:rsidP="0093514E"/>
  <w:p w:rsidR="003D23C2" w:rsidRDefault="003D23C2" w:rsidP="0093514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04383F04"/>
    <w:lvl w:ilvl="0">
      <w:start w:val="1"/>
      <w:numFmt w:val="decimal"/>
      <w:pStyle w:val="ListNumber"/>
      <w:lvlText w:val="%1."/>
      <w:lvlJc w:val="left"/>
      <w:pPr>
        <w:tabs>
          <w:tab w:val="num" w:pos="360"/>
        </w:tabs>
        <w:ind w:left="360" w:hanging="360"/>
      </w:pPr>
    </w:lvl>
  </w:abstractNum>
  <w:abstractNum w:abstractNumId="1">
    <w:nsid w:val="04FF66F4"/>
    <w:multiLevelType w:val="hybridMultilevel"/>
    <w:tmpl w:val="8A80DE12"/>
    <w:lvl w:ilvl="0" w:tplc="CE9497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10F3A"/>
    <w:multiLevelType w:val="hybridMultilevel"/>
    <w:tmpl w:val="8E3C0CD0"/>
    <w:lvl w:ilvl="0" w:tplc="BF32651E">
      <w:start w:val="1"/>
      <w:numFmt w:val="upperLetter"/>
      <w:lvlText w:val="%1."/>
      <w:lvlJc w:val="right"/>
      <w:pPr>
        <w:ind w:left="720" w:hanging="360"/>
      </w:pPr>
      <w:rPr>
        <w:rFonts w:hint="default"/>
        <w:b/>
        <w:i w:val="0"/>
        <w:color w:val="3A591F"/>
      </w:rPr>
    </w:lvl>
    <w:lvl w:ilvl="1" w:tplc="1376008E">
      <w:start w:val="1"/>
      <w:numFmt w:val="decimal"/>
      <w:lvlText w:val="%2."/>
      <w:lvlJc w:val="center"/>
      <w:pPr>
        <w:ind w:left="1800" w:hanging="720"/>
      </w:pPr>
      <w:rPr>
        <w:rFonts w:hint="default"/>
        <w:b/>
        <w:i w:val="0"/>
        <w:color w:val="3A591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BB41DA"/>
    <w:multiLevelType w:val="hybridMultilevel"/>
    <w:tmpl w:val="FB1C2158"/>
    <w:lvl w:ilvl="0" w:tplc="1376008E">
      <w:start w:val="1"/>
      <w:numFmt w:val="decimal"/>
      <w:lvlText w:val="%1."/>
      <w:lvlJc w:val="center"/>
      <w:pPr>
        <w:ind w:left="360" w:hanging="360"/>
      </w:pPr>
      <w:rPr>
        <w:rFonts w:hint="default"/>
        <w:b/>
        <w:i w:val="0"/>
        <w:color w:val="3A591F"/>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C246DBC"/>
    <w:multiLevelType w:val="hybridMultilevel"/>
    <w:tmpl w:val="0BDA0F30"/>
    <w:lvl w:ilvl="0" w:tplc="5DFAA5F6">
      <w:start w:val="1"/>
      <w:numFmt w:val="bullet"/>
      <w:lvlText w:val=""/>
      <w:lvlJc w:val="left"/>
      <w:pPr>
        <w:ind w:left="720" w:hanging="360"/>
      </w:pPr>
      <w:rPr>
        <w:rFonts w:ascii="Symbol" w:hAnsi="Symbol" w:hint="default"/>
      </w:rPr>
    </w:lvl>
    <w:lvl w:ilvl="1" w:tplc="69AEA34E" w:tentative="1">
      <w:start w:val="1"/>
      <w:numFmt w:val="bullet"/>
      <w:lvlText w:val="o"/>
      <w:lvlJc w:val="left"/>
      <w:pPr>
        <w:ind w:left="1440" w:hanging="360"/>
      </w:pPr>
      <w:rPr>
        <w:rFonts w:ascii="Courier New" w:hAnsi="Courier New" w:cs="Tahoma" w:hint="default"/>
      </w:rPr>
    </w:lvl>
    <w:lvl w:ilvl="2" w:tplc="7F5A3476" w:tentative="1">
      <w:start w:val="1"/>
      <w:numFmt w:val="bullet"/>
      <w:lvlText w:val=""/>
      <w:lvlJc w:val="left"/>
      <w:pPr>
        <w:ind w:left="2160" w:hanging="360"/>
      </w:pPr>
      <w:rPr>
        <w:rFonts w:ascii="Wingdings" w:hAnsi="Wingdings" w:hint="default"/>
      </w:rPr>
    </w:lvl>
    <w:lvl w:ilvl="3" w:tplc="EC2E1E94" w:tentative="1">
      <w:start w:val="1"/>
      <w:numFmt w:val="bullet"/>
      <w:lvlText w:val=""/>
      <w:lvlJc w:val="left"/>
      <w:pPr>
        <w:ind w:left="2880" w:hanging="360"/>
      </w:pPr>
      <w:rPr>
        <w:rFonts w:ascii="Symbol" w:hAnsi="Symbol" w:hint="default"/>
      </w:rPr>
    </w:lvl>
    <w:lvl w:ilvl="4" w:tplc="7504BBEA" w:tentative="1">
      <w:start w:val="1"/>
      <w:numFmt w:val="bullet"/>
      <w:lvlText w:val="o"/>
      <w:lvlJc w:val="left"/>
      <w:pPr>
        <w:ind w:left="3600" w:hanging="360"/>
      </w:pPr>
      <w:rPr>
        <w:rFonts w:ascii="Courier New" w:hAnsi="Courier New" w:cs="Tahoma" w:hint="default"/>
      </w:rPr>
    </w:lvl>
    <w:lvl w:ilvl="5" w:tplc="719CCBCA" w:tentative="1">
      <w:start w:val="1"/>
      <w:numFmt w:val="bullet"/>
      <w:lvlText w:val=""/>
      <w:lvlJc w:val="left"/>
      <w:pPr>
        <w:ind w:left="4320" w:hanging="360"/>
      </w:pPr>
      <w:rPr>
        <w:rFonts w:ascii="Wingdings" w:hAnsi="Wingdings" w:hint="default"/>
      </w:rPr>
    </w:lvl>
    <w:lvl w:ilvl="6" w:tplc="B008A936" w:tentative="1">
      <w:start w:val="1"/>
      <w:numFmt w:val="bullet"/>
      <w:lvlText w:val=""/>
      <w:lvlJc w:val="left"/>
      <w:pPr>
        <w:ind w:left="5040" w:hanging="360"/>
      </w:pPr>
      <w:rPr>
        <w:rFonts w:ascii="Symbol" w:hAnsi="Symbol" w:hint="default"/>
      </w:rPr>
    </w:lvl>
    <w:lvl w:ilvl="7" w:tplc="11509CEA" w:tentative="1">
      <w:start w:val="1"/>
      <w:numFmt w:val="bullet"/>
      <w:lvlText w:val="o"/>
      <w:lvlJc w:val="left"/>
      <w:pPr>
        <w:ind w:left="5760" w:hanging="360"/>
      </w:pPr>
      <w:rPr>
        <w:rFonts w:ascii="Courier New" w:hAnsi="Courier New" w:cs="Tahoma" w:hint="default"/>
      </w:rPr>
    </w:lvl>
    <w:lvl w:ilvl="8" w:tplc="5E1E2708" w:tentative="1">
      <w:start w:val="1"/>
      <w:numFmt w:val="bullet"/>
      <w:lvlText w:val=""/>
      <w:lvlJc w:val="left"/>
      <w:pPr>
        <w:ind w:left="6480" w:hanging="360"/>
      </w:pPr>
      <w:rPr>
        <w:rFonts w:ascii="Wingdings" w:hAnsi="Wingdings" w:hint="default"/>
      </w:rPr>
    </w:lvl>
  </w:abstractNum>
  <w:abstractNum w:abstractNumId="5">
    <w:nsid w:val="0F747564"/>
    <w:multiLevelType w:val="hybridMultilevel"/>
    <w:tmpl w:val="81DA3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015BE"/>
    <w:multiLevelType w:val="multilevel"/>
    <w:tmpl w:val="A03CBF04"/>
    <w:name w:val="O'Brien &amp; Gere3222"/>
    <w:lvl w:ilvl="0">
      <w:start w:val="1"/>
      <w:numFmt w:val="decimal"/>
      <w:lvlText w:val="%1)"/>
      <w:lvlJc w:val="right"/>
      <w:pPr>
        <w:tabs>
          <w:tab w:val="num" w:pos="576"/>
        </w:tabs>
        <w:ind w:left="576"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7">
    <w:nsid w:val="18D2662C"/>
    <w:multiLevelType w:val="multilevel"/>
    <w:tmpl w:val="A03CBF04"/>
    <w:name w:val="O'Brien &amp; Gere32222"/>
    <w:lvl w:ilvl="0">
      <w:start w:val="1"/>
      <w:numFmt w:val="decimal"/>
      <w:lvlText w:val="%1)"/>
      <w:lvlJc w:val="right"/>
      <w:pPr>
        <w:tabs>
          <w:tab w:val="num" w:pos="576"/>
        </w:tabs>
        <w:ind w:left="576"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8">
    <w:nsid w:val="20CD0AFF"/>
    <w:multiLevelType w:val="hybridMultilevel"/>
    <w:tmpl w:val="2C566654"/>
    <w:lvl w:ilvl="0" w:tplc="BF32651E">
      <w:start w:val="1"/>
      <w:numFmt w:val="upperLetter"/>
      <w:lvlText w:val="%1."/>
      <w:lvlJc w:val="right"/>
      <w:pPr>
        <w:ind w:left="720" w:hanging="360"/>
      </w:pPr>
      <w:rPr>
        <w:rFonts w:hint="default"/>
        <w:b/>
        <w:i w:val="0"/>
        <w:color w:val="3A59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1A3DBA"/>
    <w:multiLevelType w:val="multilevel"/>
    <w:tmpl w:val="9F0E697C"/>
    <w:name w:val="O'Brien &amp; Gere3222222"/>
    <w:lvl w:ilvl="0">
      <w:start w:val="1"/>
      <w:numFmt w:val="upperLetter"/>
      <w:lvlText w:val="%1."/>
      <w:lvlJc w:val="left"/>
      <w:pPr>
        <w:tabs>
          <w:tab w:val="num" w:pos="576"/>
        </w:tabs>
        <w:ind w:left="576" w:hanging="288"/>
      </w:pPr>
      <w:rPr>
        <w:rFonts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10">
    <w:nsid w:val="2D1C3A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2D9B4839"/>
    <w:multiLevelType w:val="hybridMultilevel"/>
    <w:tmpl w:val="13C00EDC"/>
    <w:lvl w:ilvl="0" w:tplc="BF32651E">
      <w:start w:val="1"/>
      <w:numFmt w:val="upperLetter"/>
      <w:lvlText w:val="%1."/>
      <w:lvlJc w:val="right"/>
      <w:pPr>
        <w:ind w:left="720" w:hanging="360"/>
      </w:pPr>
      <w:rPr>
        <w:rFonts w:hint="default"/>
        <w:b/>
        <w:i w:val="0"/>
        <w:color w:val="3A591F"/>
      </w:rPr>
    </w:lvl>
    <w:lvl w:ilvl="1" w:tplc="4E2445D8">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12187D"/>
    <w:multiLevelType w:val="hybridMultilevel"/>
    <w:tmpl w:val="3CF286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FD74B7"/>
    <w:multiLevelType w:val="hybridMultilevel"/>
    <w:tmpl w:val="1C5E8836"/>
    <w:lvl w:ilvl="0" w:tplc="2FA658FA">
      <w:start w:val="1"/>
      <w:numFmt w:val="bullet"/>
      <w:lvlText w:val=""/>
      <w:lvlJc w:val="left"/>
      <w:pPr>
        <w:ind w:left="720" w:hanging="360"/>
      </w:pPr>
      <w:rPr>
        <w:rFonts w:ascii="Symbol" w:hAnsi="Symbol" w:hint="default"/>
      </w:rPr>
    </w:lvl>
    <w:lvl w:ilvl="1" w:tplc="D480D860" w:tentative="1">
      <w:start w:val="1"/>
      <w:numFmt w:val="bullet"/>
      <w:lvlText w:val="o"/>
      <w:lvlJc w:val="left"/>
      <w:pPr>
        <w:ind w:left="1440" w:hanging="360"/>
      </w:pPr>
      <w:rPr>
        <w:rFonts w:ascii="Courier New" w:hAnsi="Courier New" w:cs="Tahoma" w:hint="default"/>
      </w:rPr>
    </w:lvl>
    <w:lvl w:ilvl="2" w:tplc="56F08FA6" w:tentative="1">
      <w:start w:val="1"/>
      <w:numFmt w:val="bullet"/>
      <w:lvlText w:val=""/>
      <w:lvlJc w:val="left"/>
      <w:pPr>
        <w:ind w:left="2160" w:hanging="360"/>
      </w:pPr>
      <w:rPr>
        <w:rFonts w:ascii="Wingdings" w:hAnsi="Wingdings" w:hint="default"/>
      </w:rPr>
    </w:lvl>
    <w:lvl w:ilvl="3" w:tplc="736801D2" w:tentative="1">
      <w:start w:val="1"/>
      <w:numFmt w:val="bullet"/>
      <w:lvlText w:val=""/>
      <w:lvlJc w:val="left"/>
      <w:pPr>
        <w:ind w:left="2880" w:hanging="360"/>
      </w:pPr>
      <w:rPr>
        <w:rFonts w:ascii="Symbol" w:hAnsi="Symbol" w:hint="default"/>
      </w:rPr>
    </w:lvl>
    <w:lvl w:ilvl="4" w:tplc="2CFACD44" w:tentative="1">
      <w:start w:val="1"/>
      <w:numFmt w:val="bullet"/>
      <w:lvlText w:val="o"/>
      <w:lvlJc w:val="left"/>
      <w:pPr>
        <w:ind w:left="3600" w:hanging="360"/>
      </w:pPr>
      <w:rPr>
        <w:rFonts w:ascii="Courier New" w:hAnsi="Courier New" w:cs="Tahoma" w:hint="default"/>
      </w:rPr>
    </w:lvl>
    <w:lvl w:ilvl="5" w:tplc="3572D1A2" w:tentative="1">
      <w:start w:val="1"/>
      <w:numFmt w:val="bullet"/>
      <w:lvlText w:val=""/>
      <w:lvlJc w:val="left"/>
      <w:pPr>
        <w:ind w:left="4320" w:hanging="360"/>
      </w:pPr>
      <w:rPr>
        <w:rFonts w:ascii="Wingdings" w:hAnsi="Wingdings" w:hint="default"/>
      </w:rPr>
    </w:lvl>
    <w:lvl w:ilvl="6" w:tplc="C0FE84E4" w:tentative="1">
      <w:start w:val="1"/>
      <w:numFmt w:val="bullet"/>
      <w:lvlText w:val=""/>
      <w:lvlJc w:val="left"/>
      <w:pPr>
        <w:ind w:left="5040" w:hanging="360"/>
      </w:pPr>
      <w:rPr>
        <w:rFonts w:ascii="Symbol" w:hAnsi="Symbol" w:hint="default"/>
      </w:rPr>
    </w:lvl>
    <w:lvl w:ilvl="7" w:tplc="C464B040" w:tentative="1">
      <w:start w:val="1"/>
      <w:numFmt w:val="bullet"/>
      <w:lvlText w:val="o"/>
      <w:lvlJc w:val="left"/>
      <w:pPr>
        <w:ind w:left="5760" w:hanging="360"/>
      </w:pPr>
      <w:rPr>
        <w:rFonts w:ascii="Courier New" w:hAnsi="Courier New" w:cs="Tahoma" w:hint="default"/>
      </w:rPr>
    </w:lvl>
    <w:lvl w:ilvl="8" w:tplc="0478C8D8" w:tentative="1">
      <w:start w:val="1"/>
      <w:numFmt w:val="bullet"/>
      <w:lvlText w:val=""/>
      <w:lvlJc w:val="left"/>
      <w:pPr>
        <w:ind w:left="6480" w:hanging="360"/>
      </w:pPr>
      <w:rPr>
        <w:rFonts w:ascii="Wingdings" w:hAnsi="Wingdings" w:hint="default"/>
      </w:rPr>
    </w:lvl>
  </w:abstractNum>
  <w:abstractNum w:abstractNumId="14">
    <w:nsid w:val="45DF4DBE"/>
    <w:multiLevelType w:val="hybridMultilevel"/>
    <w:tmpl w:val="8BC6A9DA"/>
    <w:lvl w:ilvl="0" w:tplc="0346D172">
      <w:start w:val="1"/>
      <w:numFmt w:val="bullet"/>
      <w:lvlText w:val=""/>
      <w:lvlJc w:val="left"/>
      <w:pPr>
        <w:ind w:left="720" w:hanging="360"/>
      </w:pPr>
      <w:rPr>
        <w:rFonts w:ascii="Symbol" w:hAnsi="Symbol" w:hint="default"/>
      </w:rPr>
    </w:lvl>
    <w:lvl w:ilvl="1" w:tplc="9156F50C" w:tentative="1">
      <w:start w:val="1"/>
      <w:numFmt w:val="bullet"/>
      <w:lvlText w:val="o"/>
      <w:lvlJc w:val="left"/>
      <w:pPr>
        <w:ind w:left="1440" w:hanging="360"/>
      </w:pPr>
      <w:rPr>
        <w:rFonts w:ascii="Courier New" w:hAnsi="Courier New" w:cs="Tahoma" w:hint="default"/>
      </w:rPr>
    </w:lvl>
    <w:lvl w:ilvl="2" w:tplc="948A1954" w:tentative="1">
      <w:start w:val="1"/>
      <w:numFmt w:val="bullet"/>
      <w:lvlText w:val=""/>
      <w:lvlJc w:val="left"/>
      <w:pPr>
        <w:ind w:left="2160" w:hanging="360"/>
      </w:pPr>
      <w:rPr>
        <w:rFonts w:ascii="Wingdings" w:hAnsi="Wingdings" w:hint="default"/>
      </w:rPr>
    </w:lvl>
    <w:lvl w:ilvl="3" w:tplc="0E926DD6" w:tentative="1">
      <w:start w:val="1"/>
      <w:numFmt w:val="bullet"/>
      <w:lvlText w:val=""/>
      <w:lvlJc w:val="left"/>
      <w:pPr>
        <w:ind w:left="2880" w:hanging="360"/>
      </w:pPr>
      <w:rPr>
        <w:rFonts w:ascii="Symbol" w:hAnsi="Symbol" w:hint="default"/>
      </w:rPr>
    </w:lvl>
    <w:lvl w:ilvl="4" w:tplc="397A8BC6" w:tentative="1">
      <w:start w:val="1"/>
      <w:numFmt w:val="bullet"/>
      <w:lvlText w:val="o"/>
      <w:lvlJc w:val="left"/>
      <w:pPr>
        <w:ind w:left="3600" w:hanging="360"/>
      </w:pPr>
      <w:rPr>
        <w:rFonts w:ascii="Courier New" w:hAnsi="Courier New" w:cs="Tahoma" w:hint="default"/>
      </w:rPr>
    </w:lvl>
    <w:lvl w:ilvl="5" w:tplc="C7522D24" w:tentative="1">
      <w:start w:val="1"/>
      <w:numFmt w:val="bullet"/>
      <w:lvlText w:val=""/>
      <w:lvlJc w:val="left"/>
      <w:pPr>
        <w:ind w:left="4320" w:hanging="360"/>
      </w:pPr>
      <w:rPr>
        <w:rFonts w:ascii="Wingdings" w:hAnsi="Wingdings" w:hint="default"/>
      </w:rPr>
    </w:lvl>
    <w:lvl w:ilvl="6" w:tplc="33280E6A" w:tentative="1">
      <w:start w:val="1"/>
      <w:numFmt w:val="bullet"/>
      <w:lvlText w:val=""/>
      <w:lvlJc w:val="left"/>
      <w:pPr>
        <w:ind w:left="5040" w:hanging="360"/>
      </w:pPr>
      <w:rPr>
        <w:rFonts w:ascii="Symbol" w:hAnsi="Symbol" w:hint="default"/>
      </w:rPr>
    </w:lvl>
    <w:lvl w:ilvl="7" w:tplc="386263CC" w:tentative="1">
      <w:start w:val="1"/>
      <w:numFmt w:val="bullet"/>
      <w:lvlText w:val="o"/>
      <w:lvlJc w:val="left"/>
      <w:pPr>
        <w:ind w:left="5760" w:hanging="360"/>
      </w:pPr>
      <w:rPr>
        <w:rFonts w:ascii="Courier New" w:hAnsi="Courier New" w:cs="Tahoma" w:hint="default"/>
      </w:rPr>
    </w:lvl>
    <w:lvl w:ilvl="8" w:tplc="05143378" w:tentative="1">
      <w:start w:val="1"/>
      <w:numFmt w:val="bullet"/>
      <w:lvlText w:val=""/>
      <w:lvlJc w:val="left"/>
      <w:pPr>
        <w:ind w:left="6480" w:hanging="360"/>
      </w:pPr>
      <w:rPr>
        <w:rFonts w:ascii="Wingdings" w:hAnsi="Wingdings" w:hint="default"/>
      </w:rPr>
    </w:lvl>
  </w:abstractNum>
  <w:abstractNum w:abstractNumId="15">
    <w:nsid w:val="4EE62567"/>
    <w:multiLevelType w:val="hybridMultilevel"/>
    <w:tmpl w:val="1420677E"/>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6">
    <w:nsid w:val="54213AD8"/>
    <w:multiLevelType w:val="hybridMultilevel"/>
    <w:tmpl w:val="566CECF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794276"/>
    <w:multiLevelType w:val="hybridMultilevel"/>
    <w:tmpl w:val="C3761FF6"/>
    <w:lvl w:ilvl="0" w:tplc="8754449A">
      <w:start w:val="1"/>
      <w:numFmt w:val="bullet"/>
      <w:lvlText w:val=""/>
      <w:lvlJc w:val="left"/>
      <w:pPr>
        <w:ind w:left="720" w:hanging="360"/>
      </w:pPr>
      <w:rPr>
        <w:rFonts w:ascii="Symbol" w:hAnsi="Symbol" w:hint="default"/>
      </w:rPr>
    </w:lvl>
    <w:lvl w:ilvl="1" w:tplc="3B581638" w:tentative="1">
      <w:start w:val="1"/>
      <w:numFmt w:val="bullet"/>
      <w:lvlText w:val="o"/>
      <w:lvlJc w:val="left"/>
      <w:pPr>
        <w:ind w:left="1440" w:hanging="360"/>
      </w:pPr>
      <w:rPr>
        <w:rFonts w:ascii="Courier New" w:hAnsi="Courier New" w:cs="Tahoma" w:hint="default"/>
      </w:rPr>
    </w:lvl>
    <w:lvl w:ilvl="2" w:tplc="DAA698D8" w:tentative="1">
      <w:start w:val="1"/>
      <w:numFmt w:val="bullet"/>
      <w:lvlText w:val=""/>
      <w:lvlJc w:val="left"/>
      <w:pPr>
        <w:ind w:left="2160" w:hanging="360"/>
      </w:pPr>
      <w:rPr>
        <w:rFonts w:ascii="Wingdings" w:hAnsi="Wingdings" w:hint="default"/>
      </w:rPr>
    </w:lvl>
    <w:lvl w:ilvl="3" w:tplc="33ACDF54" w:tentative="1">
      <w:start w:val="1"/>
      <w:numFmt w:val="bullet"/>
      <w:lvlText w:val=""/>
      <w:lvlJc w:val="left"/>
      <w:pPr>
        <w:ind w:left="2880" w:hanging="360"/>
      </w:pPr>
      <w:rPr>
        <w:rFonts w:ascii="Symbol" w:hAnsi="Symbol" w:hint="default"/>
      </w:rPr>
    </w:lvl>
    <w:lvl w:ilvl="4" w:tplc="5CAEFE4E" w:tentative="1">
      <w:start w:val="1"/>
      <w:numFmt w:val="bullet"/>
      <w:lvlText w:val="o"/>
      <w:lvlJc w:val="left"/>
      <w:pPr>
        <w:ind w:left="3600" w:hanging="360"/>
      </w:pPr>
      <w:rPr>
        <w:rFonts w:ascii="Courier New" w:hAnsi="Courier New" w:cs="Tahoma" w:hint="default"/>
      </w:rPr>
    </w:lvl>
    <w:lvl w:ilvl="5" w:tplc="97D07422" w:tentative="1">
      <w:start w:val="1"/>
      <w:numFmt w:val="bullet"/>
      <w:lvlText w:val=""/>
      <w:lvlJc w:val="left"/>
      <w:pPr>
        <w:ind w:left="4320" w:hanging="360"/>
      </w:pPr>
      <w:rPr>
        <w:rFonts w:ascii="Wingdings" w:hAnsi="Wingdings" w:hint="default"/>
      </w:rPr>
    </w:lvl>
    <w:lvl w:ilvl="6" w:tplc="DEB0B7A4" w:tentative="1">
      <w:start w:val="1"/>
      <w:numFmt w:val="bullet"/>
      <w:lvlText w:val=""/>
      <w:lvlJc w:val="left"/>
      <w:pPr>
        <w:ind w:left="5040" w:hanging="360"/>
      </w:pPr>
      <w:rPr>
        <w:rFonts w:ascii="Symbol" w:hAnsi="Symbol" w:hint="default"/>
      </w:rPr>
    </w:lvl>
    <w:lvl w:ilvl="7" w:tplc="B9265812" w:tentative="1">
      <w:start w:val="1"/>
      <w:numFmt w:val="bullet"/>
      <w:lvlText w:val="o"/>
      <w:lvlJc w:val="left"/>
      <w:pPr>
        <w:ind w:left="5760" w:hanging="360"/>
      </w:pPr>
      <w:rPr>
        <w:rFonts w:ascii="Courier New" w:hAnsi="Courier New" w:cs="Tahoma" w:hint="default"/>
      </w:rPr>
    </w:lvl>
    <w:lvl w:ilvl="8" w:tplc="FED61B76" w:tentative="1">
      <w:start w:val="1"/>
      <w:numFmt w:val="bullet"/>
      <w:lvlText w:val=""/>
      <w:lvlJc w:val="left"/>
      <w:pPr>
        <w:ind w:left="6480" w:hanging="360"/>
      </w:pPr>
      <w:rPr>
        <w:rFonts w:ascii="Wingdings" w:hAnsi="Wingdings" w:hint="default"/>
      </w:rPr>
    </w:lvl>
  </w:abstractNum>
  <w:abstractNum w:abstractNumId="18">
    <w:nsid w:val="6A075BAE"/>
    <w:multiLevelType w:val="hybridMultilevel"/>
    <w:tmpl w:val="B5B698D8"/>
    <w:lvl w:ilvl="0" w:tplc="E6140A24">
      <w:start w:val="1"/>
      <w:numFmt w:val="bullet"/>
      <w:lvlText w:val=""/>
      <w:lvlJc w:val="left"/>
      <w:pPr>
        <w:ind w:left="720" w:hanging="360"/>
      </w:pPr>
      <w:rPr>
        <w:rFonts w:ascii="Symbol" w:hAnsi="Symbol" w:hint="default"/>
      </w:rPr>
    </w:lvl>
    <w:lvl w:ilvl="1" w:tplc="6CA0C2D4" w:tentative="1">
      <w:start w:val="1"/>
      <w:numFmt w:val="bullet"/>
      <w:lvlText w:val="o"/>
      <w:lvlJc w:val="left"/>
      <w:pPr>
        <w:ind w:left="1440" w:hanging="360"/>
      </w:pPr>
      <w:rPr>
        <w:rFonts w:ascii="Courier New" w:hAnsi="Courier New" w:cs="Tahoma" w:hint="default"/>
      </w:rPr>
    </w:lvl>
    <w:lvl w:ilvl="2" w:tplc="D0CCA640" w:tentative="1">
      <w:start w:val="1"/>
      <w:numFmt w:val="bullet"/>
      <w:lvlText w:val=""/>
      <w:lvlJc w:val="left"/>
      <w:pPr>
        <w:ind w:left="2160" w:hanging="360"/>
      </w:pPr>
      <w:rPr>
        <w:rFonts w:ascii="Wingdings" w:hAnsi="Wingdings" w:hint="default"/>
      </w:rPr>
    </w:lvl>
    <w:lvl w:ilvl="3" w:tplc="926EFCA4" w:tentative="1">
      <w:start w:val="1"/>
      <w:numFmt w:val="bullet"/>
      <w:lvlText w:val=""/>
      <w:lvlJc w:val="left"/>
      <w:pPr>
        <w:ind w:left="2880" w:hanging="360"/>
      </w:pPr>
      <w:rPr>
        <w:rFonts w:ascii="Symbol" w:hAnsi="Symbol" w:hint="default"/>
      </w:rPr>
    </w:lvl>
    <w:lvl w:ilvl="4" w:tplc="CBC61468" w:tentative="1">
      <w:start w:val="1"/>
      <w:numFmt w:val="bullet"/>
      <w:lvlText w:val="o"/>
      <w:lvlJc w:val="left"/>
      <w:pPr>
        <w:ind w:left="3600" w:hanging="360"/>
      </w:pPr>
      <w:rPr>
        <w:rFonts w:ascii="Courier New" w:hAnsi="Courier New" w:cs="Tahoma" w:hint="default"/>
      </w:rPr>
    </w:lvl>
    <w:lvl w:ilvl="5" w:tplc="3FA4C2E6" w:tentative="1">
      <w:start w:val="1"/>
      <w:numFmt w:val="bullet"/>
      <w:lvlText w:val=""/>
      <w:lvlJc w:val="left"/>
      <w:pPr>
        <w:ind w:left="4320" w:hanging="360"/>
      </w:pPr>
      <w:rPr>
        <w:rFonts w:ascii="Wingdings" w:hAnsi="Wingdings" w:hint="default"/>
      </w:rPr>
    </w:lvl>
    <w:lvl w:ilvl="6" w:tplc="72BADB38" w:tentative="1">
      <w:start w:val="1"/>
      <w:numFmt w:val="bullet"/>
      <w:lvlText w:val=""/>
      <w:lvlJc w:val="left"/>
      <w:pPr>
        <w:ind w:left="5040" w:hanging="360"/>
      </w:pPr>
      <w:rPr>
        <w:rFonts w:ascii="Symbol" w:hAnsi="Symbol" w:hint="default"/>
      </w:rPr>
    </w:lvl>
    <w:lvl w:ilvl="7" w:tplc="7D0499F6" w:tentative="1">
      <w:start w:val="1"/>
      <w:numFmt w:val="bullet"/>
      <w:lvlText w:val="o"/>
      <w:lvlJc w:val="left"/>
      <w:pPr>
        <w:ind w:left="5760" w:hanging="360"/>
      </w:pPr>
      <w:rPr>
        <w:rFonts w:ascii="Courier New" w:hAnsi="Courier New" w:cs="Tahoma" w:hint="default"/>
      </w:rPr>
    </w:lvl>
    <w:lvl w:ilvl="8" w:tplc="E7BC9894" w:tentative="1">
      <w:start w:val="1"/>
      <w:numFmt w:val="bullet"/>
      <w:lvlText w:val=""/>
      <w:lvlJc w:val="left"/>
      <w:pPr>
        <w:ind w:left="6480" w:hanging="360"/>
      </w:pPr>
      <w:rPr>
        <w:rFonts w:ascii="Wingdings" w:hAnsi="Wingdings" w:hint="default"/>
      </w:rPr>
    </w:lvl>
  </w:abstractNum>
  <w:abstractNum w:abstractNumId="19">
    <w:nsid w:val="6B044355"/>
    <w:multiLevelType w:val="multilevel"/>
    <w:tmpl w:val="7E529FEE"/>
    <w:name w:val="O'Brien &amp; Gere32222"/>
    <w:lvl w:ilvl="0">
      <w:start w:val="1"/>
      <w:numFmt w:val="bullet"/>
      <w:pStyle w:val="ListBullet"/>
      <w:lvlText w:val=""/>
      <w:lvlJc w:val="left"/>
      <w:pPr>
        <w:tabs>
          <w:tab w:val="num" w:pos="274"/>
        </w:tabs>
        <w:ind w:left="274" w:hanging="274"/>
      </w:pPr>
      <w:rPr>
        <w:rFonts w:ascii="Wingdings 2" w:hAnsi="Wingdings 2" w:hint="default"/>
        <w:b w:val="0"/>
        <w:i w:val="0"/>
        <w:color w:val="76B23F"/>
        <w:sz w:val="22"/>
      </w:rPr>
    </w:lvl>
    <w:lvl w:ilvl="1">
      <w:start w:val="1"/>
      <w:numFmt w:val="bullet"/>
      <w:pStyle w:val="ListBullet2"/>
      <w:lvlText w:val="»"/>
      <w:lvlJc w:val="left"/>
      <w:pPr>
        <w:tabs>
          <w:tab w:val="num" w:pos="548"/>
        </w:tabs>
        <w:ind w:left="548" w:hanging="274"/>
      </w:pPr>
      <w:rPr>
        <w:rFonts w:ascii="Calibri" w:hAnsi="Calibri" w:hint="default"/>
        <w:color w:val="84AA33"/>
      </w:rPr>
    </w:lvl>
    <w:lvl w:ilvl="2">
      <w:start w:val="1"/>
      <w:numFmt w:val="bullet"/>
      <w:pStyle w:val="ListBullet3"/>
      <w:lvlText w:val="›"/>
      <w:lvlJc w:val="left"/>
      <w:pPr>
        <w:tabs>
          <w:tab w:val="num" w:pos="822"/>
        </w:tabs>
        <w:ind w:left="822" w:hanging="274"/>
      </w:pPr>
      <w:rPr>
        <w:rFonts w:ascii="Cambria" w:hAnsi="Cambria" w:hint="default"/>
        <w:color w:val="76B23F"/>
      </w:rPr>
    </w:lvl>
    <w:lvl w:ilvl="3">
      <w:start w:val="1"/>
      <w:numFmt w:val="bullet"/>
      <w:pStyle w:val="ListBullet4"/>
      <w:lvlText w:val=""/>
      <w:lvlJc w:val="left"/>
      <w:pPr>
        <w:tabs>
          <w:tab w:val="num" w:pos="1096"/>
        </w:tabs>
        <w:ind w:left="1096" w:hanging="274"/>
      </w:pPr>
      <w:rPr>
        <w:rFonts w:ascii="Wingdings 2" w:hAnsi="Wingdings 2" w:hint="default"/>
        <w:color w:val="76B23F"/>
      </w:rPr>
    </w:lvl>
    <w:lvl w:ilvl="4">
      <w:start w:val="1"/>
      <w:numFmt w:val="bullet"/>
      <w:pStyle w:val="ListBullet5"/>
      <w:lvlText w:val=""/>
      <w:lvlJc w:val="left"/>
      <w:pPr>
        <w:tabs>
          <w:tab w:val="num" w:pos="1370"/>
        </w:tabs>
        <w:ind w:left="1370" w:hanging="274"/>
      </w:pPr>
      <w:rPr>
        <w:rFonts w:ascii="Wingdings" w:hAnsi="Wingdings" w:cs="Courier New" w:hint="default"/>
        <w:color w:val="76B23F"/>
      </w:rPr>
    </w:lvl>
    <w:lvl w:ilvl="5">
      <w:start w:val="1"/>
      <w:numFmt w:val="bullet"/>
      <w:pStyle w:val="Bullet-6"/>
      <w:lvlText w:val=""/>
      <w:lvlJc w:val="left"/>
      <w:pPr>
        <w:tabs>
          <w:tab w:val="num" w:pos="1644"/>
        </w:tabs>
        <w:ind w:left="1644" w:hanging="274"/>
      </w:pPr>
      <w:rPr>
        <w:rFonts w:ascii="Wingdings" w:hAnsi="Wingdings" w:hint="default"/>
        <w:color w:val="76B23F"/>
      </w:rPr>
    </w:lvl>
    <w:lvl w:ilvl="6">
      <w:start w:val="1"/>
      <w:numFmt w:val="bullet"/>
      <w:pStyle w:val="Bullet-7"/>
      <w:lvlText w:val=""/>
      <w:lvlJc w:val="left"/>
      <w:pPr>
        <w:tabs>
          <w:tab w:val="num" w:pos="1918"/>
        </w:tabs>
        <w:ind w:left="1918" w:hanging="274"/>
      </w:pPr>
      <w:rPr>
        <w:rFonts w:ascii="Wingdings" w:hAnsi="Wingdings" w:hint="default"/>
        <w:color w:val="76B23F"/>
      </w:rPr>
    </w:lvl>
    <w:lvl w:ilvl="7">
      <w:start w:val="1"/>
      <w:numFmt w:val="bullet"/>
      <w:pStyle w:val="Bullet-8"/>
      <w:lvlText w:val=""/>
      <w:lvlJc w:val="left"/>
      <w:pPr>
        <w:tabs>
          <w:tab w:val="num" w:pos="2192"/>
        </w:tabs>
        <w:ind w:left="2192" w:hanging="274"/>
      </w:pPr>
      <w:rPr>
        <w:rFonts w:ascii="Wingdings" w:hAnsi="Wingdings" w:cs="Courier New" w:hint="default"/>
        <w:color w:val="76B23F"/>
      </w:rPr>
    </w:lvl>
    <w:lvl w:ilvl="8">
      <w:start w:val="1"/>
      <w:numFmt w:val="bullet"/>
      <w:pStyle w:val="Bullet-9"/>
      <w:lvlText w:val=""/>
      <w:lvlJc w:val="left"/>
      <w:pPr>
        <w:tabs>
          <w:tab w:val="num" w:pos="2466"/>
        </w:tabs>
        <w:ind w:left="2466" w:hanging="274"/>
      </w:pPr>
      <w:rPr>
        <w:rFonts w:ascii="Wingdings" w:hAnsi="Wingdings" w:hint="default"/>
        <w:color w:val="76B23F"/>
      </w:rPr>
    </w:lvl>
  </w:abstractNum>
  <w:abstractNum w:abstractNumId="20">
    <w:nsid w:val="6B2F3756"/>
    <w:multiLevelType w:val="multilevel"/>
    <w:tmpl w:val="17BE40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E0F0270"/>
    <w:multiLevelType w:val="multilevel"/>
    <w:tmpl w:val="A03CBF04"/>
    <w:lvl w:ilvl="0">
      <w:start w:val="1"/>
      <w:numFmt w:val="decimal"/>
      <w:lvlText w:val="%1)"/>
      <w:lvlJc w:val="right"/>
      <w:pPr>
        <w:tabs>
          <w:tab w:val="num" w:pos="576"/>
        </w:tabs>
        <w:ind w:left="576"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22">
    <w:nsid w:val="72E50D94"/>
    <w:multiLevelType w:val="multilevel"/>
    <w:tmpl w:val="7E529FEE"/>
    <w:name w:val="O'Brien &amp; Gere32"/>
    <w:styleLink w:val="OBrienGere"/>
    <w:lvl w:ilvl="0">
      <w:start w:val="1"/>
      <w:numFmt w:val="bullet"/>
      <w:lvlText w:val=""/>
      <w:lvlJc w:val="left"/>
      <w:pPr>
        <w:tabs>
          <w:tab w:val="num" w:pos="274"/>
        </w:tabs>
        <w:ind w:left="274" w:hanging="274"/>
      </w:pPr>
      <w:rPr>
        <w:rFonts w:ascii="Wingdings 2" w:hAnsi="Wingdings 2" w:hint="default"/>
        <w:b w:val="0"/>
        <w:i w:val="0"/>
        <w:color w:val="76B23F"/>
        <w:sz w:val="22"/>
      </w:rPr>
    </w:lvl>
    <w:lvl w:ilvl="1">
      <w:start w:val="1"/>
      <w:numFmt w:val="bullet"/>
      <w:lvlText w:val="»"/>
      <w:lvlJc w:val="left"/>
      <w:pPr>
        <w:tabs>
          <w:tab w:val="num" w:pos="548"/>
        </w:tabs>
        <w:ind w:left="548" w:hanging="274"/>
      </w:pPr>
      <w:rPr>
        <w:rFonts w:ascii="Calibri" w:hAnsi="Calibri" w:hint="default"/>
        <w:color w:val="84AA33"/>
      </w:rPr>
    </w:lvl>
    <w:lvl w:ilvl="2">
      <w:start w:val="1"/>
      <w:numFmt w:val="bullet"/>
      <w:lvlText w:val="›"/>
      <w:lvlJc w:val="left"/>
      <w:pPr>
        <w:tabs>
          <w:tab w:val="num" w:pos="822"/>
        </w:tabs>
        <w:ind w:left="822" w:hanging="274"/>
      </w:pPr>
      <w:rPr>
        <w:rFonts w:ascii="Cambria" w:hAnsi="Cambria" w:hint="default"/>
        <w:color w:val="76B23F"/>
      </w:rPr>
    </w:lvl>
    <w:lvl w:ilvl="3">
      <w:start w:val="1"/>
      <w:numFmt w:val="bullet"/>
      <w:lvlText w:val=""/>
      <w:lvlJc w:val="left"/>
      <w:pPr>
        <w:tabs>
          <w:tab w:val="num" w:pos="1096"/>
        </w:tabs>
        <w:ind w:left="1096" w:hanging="274"/>
      </w:pPr>
      <w:rPr>
        <w:rFonts w:ascii="Wingdings 2" w:hAnsi="Wingdings 2" w:hint="default"/>
        <w:color w:val="76B23F"/>
      </w:rPr>
    </w:lvl>
    <w:lvl w:ilvl="4">
      <w:start w:val="1"/>
      <w:numFmt w:val="bullet"/>
      <w:lvlText w:val=""/>
      <w:lvlJc w:val="left"/>
      <w:pPr>
        <w:tabs>
          <w:tab w:val="num" w:pos="1370"/>
        </w:tabs>
        <w:ind w:left="1370" w:hanging="274"/>
      </w:pPr>
      <w:rPr>
        <w:rFonts w:ascii="Wingdings" w:hAnsi="Wingdings" w:cs="Courier New" w:hint="default"/>
        <w:color w:val="76B23F"/>
      </w:rPr>
    </w:lvl>
    <w:lvl w:ilvl="5">
      <w:start w:val="1"/>
      <w:numFmt w:val="bullet"/>
      <w:lvlText w:val=""/>
      <w:lvlJc w:val="left"/>
      <w:pPr>
        <w:tabs>
          <w:tab w:val="num" w:pos="1644"/>
        </w:tabs>
        <w:ind w:left="1644" w:hanging="274"/>
      </w:pPr>
      <w:rPr>
        <w:rFonts w:ascii="Wingdings" w:hAnsi="Wingdings" w:hint="default"/>
        <w:color w:val="76B23F"/>
      </w:rPr>
    </w:lvl>
    <w:lvl w:ilvl="6">
      <w:start w:val="1"/>
      <w:numFmt w:val="bullet"/>
      <w:lvlText w:val=""/>
      <w:lvlJc w:val="left"/>
      <w:pPr>
        <w:tabs>
          <w:tab w:val="num" w:pos="1918"/>
        </w:tabs>
        <w:ind w:left="1918" w:hanging="274"/>
      </w:pPr>
      <w:rPr>
        <w:rFonts w:ascii="Wingdings" w:hAnsi="Wingdings" w:hint="default"/>
        <w:color w:val="76B23F"/>
      </w:rPr>
    </w:lvl>
    <w:lvl w:ilvl="7">
      <w:start w:val="1"/>
      <w:numFmt w:val="bullet"/>
      <w:lvlText w:val=""/>
      <w:lvlJc w:val="left"/>
      <w:pPr>
        <w:tabs>
          <w:tab w:val="num" w:pos="2192"/>
        </w:tabs>
        <w:ind w:left="2192" w:hanging="274"/>
      </w:pPr>
      <w:rPr>
        <w:rFonts w:ascii="Wingdings" w:hAnsi="Wingdings" w:cs="Courier New" w:hint="default"/>
        <w:color w:val="76B23F"/>
      </w:rPr>
    </w:lvl>
    <w:lvl w:ilvl="8">
      <w:start w:val="1"/>
      <w:numFmt w:val="bullet"/>
      <w:lvlText w:val=""/>
      <w:lvlJc w:val="left"/>
      <w:pPr>
        <w:tabs>
          <w:tab w:val="num" w:pos="2466"/>
        </w:tabs>
        <w:ind w:left="2466" w:hanging="274"/>
      </w:pPr>
      <w:rPr>
        <w:rFonts w:ascii="Wingdings" w:hAnsi="Wingdings" w:hint="default"/>
        <w:color w:val="76B23F"/>
      </w:rPr>
    </w:lvl>
  </w:abstractNum>
  <w:abstractNum w:abstractNumId="23">
    <w:nsid w:val="75DD6075"/>
    <w:multiLevelType w:val="hybridMultilevel"/>
    <w:tmpl w:val="79A29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D81671"/>
    <w:multiLevelType w:val="multilevel"/>
    <w:tmpl w:val="A03CBF04"/>
    <w:lvl w:ilvl="0">
      <w:start w:val="1"/>
      <w:numFmt w:val="decimal"/>
      <w:lvlText w:val="%1)"/>
      <w:lvlJc w:val="right"/>
      <w:pPr>
        <w:tabs>
          <w:tab w:val="num" w:pos="576"/>
        </w:tabs>
        <w:ind w:left="576"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25">
    <w:nsid w:val="79A27BD4"/>
    <w:multiLevelType w:val="hybridMultilevel"/>
    <w:tmpl w:val="9170E4DC"/>
    <w:lvl w:ilvl="0" w:tplc="1376008E">
      <w:start w:val="1"/>
      <w:numFmt w:val="decimal"/>
      <w:lvlText w:val="%1."/>
      <w:lvlJc w:val="center"/>
      <w:pPr>
        <w:ind w:left="720" w:hanging="360"/>
      </w:pPr>
      <w:rPr>
        <w:rFonts w:hint="default"/>
        <w:b/>
        <w:i w:val="0"/>
        <w:color w:val="3A59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A945CF6"/>
    <w:multiLevelType w:val="hybridMultilevel"/>
    <w:tmpl w:val="134CBCE8"/>
    <w:lvl w:ilvl="0" w:tplc="51D0222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FB51A0"/>
    <w:multiLevelType w:val="multilevel"/>
    <w:tmpl w:val="A096230E"/>
    <w:name w:val="O'Brien &amp; Gere322222"/>
    <w:lvl w:ilvl="0">
      <w:start w:val="1"/>
      <w:numFmt w:val="lowerRoman"/>
      <w:pStyle w:val="List"/>
      <w:lvlText w:val="%1."/>
      <w:lvlJc w:val="right"/>
      <w:pPr>
        <w:ind w:left="540" w:hanging="360"/>
      </w:pPr>
      <w:rPr>
        <w:rFonts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num w:numId="1">
    <w:abstractNumId w:val="22"/>
  </w:num>
  <w:num w:numId="2">
    <w:abstractNumId w:val="19"/>
  </w:num>
  <w:num w:numId="3">
    <w:abstractNumId w:val="27"/>
  </w:num>
  <w:num w:numId="4">
    <w:abstractNumId w:val="20"/>
  </w:num>
  <w:num w:numId="5">
    <w:abstractNumId w:val="0"/>
  </w:num>
  <w:num w:numId="6">
    <w:abstractNumId w:val="25"/>
  </w:num>
  <w:num w:numId="7">
    <w:abstractNumId w:val="11"/>
  </w:num>
  <w:num w:numId="8">
    <w:abstractNumId w:val="8"/>
  </w:num>
  <w:num w:numId="9">
    <w:abstractNumId w:val="3"/>
  </w:num>
  <w:num w:numId="10">
    <w:abstractNumId w:val="2"/>
  </w:num>
  <w:num w:numId="11">
    <w:abstractNumId w:val="18"/>
  </w:num>
  <w:num w:numId="12">
    <w:abstractNumId w:val="14"/>
  </w:num>
  <w:num w:numId="13">
    <w:abstractNumId w:val="10"/>
  </w:num>
  <w:num w:numId="14">
    <w:abstractNumId w:val="17"/>
  </w:num>
  <w:num w:numId="15">
    <w:abstractNumId w:val="13"/>
  </w:num>
  <w:num w:numId="16">
    <w:abstractNumId w:val="4"/>
  </w:num>
  <w:num w:numId="17">
    <w:abstractNumId w:val="15"/>
  </w:num>
  <w:num w:numId="18">
    <w:abstractNumId w:val="1"/>
  </w:num>
  <w:num w:numId="19">
    <w:abstractNumId w:val="26"/>
  </w:num>
  <w:num w:numId="20">
    <w:abstractNumId w:val="23"/>
  </w:num>
  <w:num w:numId="21">
    <w:abstractNumId w:val="16"/>
  </w:num>
  <w:num w:numId="22">
    <w:abstractNumId w:val="12"/>
  </w:num>
  <w:num w:numId="23">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US" w:vendorID="8" w:dllVersion="513" w:checkStyle="1"/>
  <w:proofState w:spelling="clean" w:grammar="clean"/>
  <w:attachedTemplate r:id="rId1"/>
  <w:stylePaneFormatFilter w:val="1021"/>
  <w:styleLockQFSet/>
  <w:defaultTabStop w:val="720"/>
  <w:drawingGridHorizontalSpacing w:val="105"/>
  <w:displayHorizontalDrawingGridEvery w:val="0"/>
  <w:displayVerticalDrawingGridEvery w:val="0"/>
  <w:noPunctuationKerning/>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rsids>
    <w:rsidRoot w:val="00B83C6E"/>
    <w:rsid w:val="00002759"/>
    <w:rsid w:val="00003107"/>
    <w:rsid w:val="00006D8E"/>
    <w:rsid w:val="000077CD"/>
    <w:rsid w:val="000104D9"/>
    <w:rsid w:val="00016D17"/>
    <w:rsid w:val="00025CA6"/>
    <w:rsid w:val="00025CF5"/>
    <w:rsid w:val="00027F3B"/>
    <w:rsid w:val="00035D62"/>
    <w:rsid w:val="000475C3"/>
    <w:rsid w:val="00056F5E"/>
    <w:rsid w:val="0006375A"/>
    <w:rsid w:val="000639AE"/>
    <w:rsid w:val="00065DF1"/>
    <w:rsid w:val="00066A25"/>
    <w:rsid w:val="00077DD6"/>
    <w:rsid w:val="000809DA"/>
    <w:rsid w:val="00084638"/>
    <w:rsid w:val="00085AB1"/>
    <w:rsid w:val="00091239"/>
    <w:rsid w:val="000916CE"/>
    <w:rsid w:val="00095756"/>
    <w:rsid w:val="00096DF7"/>
    <w:rsid w:val="000A0D93"/>
    <w:rsid w:val="000A6B07"/>
    <w:rsid w:val="000B5E32"/>
    <w:rsid w:val="000C1A22"/>
    <w:rsid w:val="000C43D2"/>
    <w:rsid w:val="000E334E"/>
    <w:rsid w:val="000F161C"/>
    <w:rsid w:val="000F188E"/>
    <w:rsid w:val="000F72E9"/>
    <w:rsid w:val="00101009"/>
    <w:rsid w:val="00104B56"/>
    <w:rsid w:val="00104D26"/>
    <w:rsid w:val="001141ED"/>
    <w:rsid w:val="00116542"/>
    <w:rsid w:val="0012245F"/>
    <w:rsid w:val="00127B76"/>
    <w:rsid w:val="0013071A"/>
    <w:rsid w:val="001353D9"/>
    <w:rsid w:val="00140D0A"/>
    <w:rsid w:val="001445C1"/>
    <w:rsid w:val="001446AC"/>
    <w:rsid w:val="00145752"/>
    <w:rsid w:val="00151B5D"/>
    <w:rsid w:val="00151F50"/>
    <w:rsid w:val="001568B4"/>
    <w:rsid w:val="0016266B"/>
    <w:rsid w:val="00175F3D"/>
    <w:rsid w:val="0018767B"/>
    <w:rsid w:val="001876C7"/>
    <w:rsid w:val="001A7E50"/>
    <w:rsid w:val="001B1A11"/>
    <w:rsid w:val="001B41A8"/>
    <w:rsid w:val="001B4A82"/>
    <w:rsid w:val="001D50DD"/>
    <w:rsid w:val="001D7E08"/>
    <w:rsid w:val="001E49AA"/>
    <w:rsid w:val="001F31E7"/>
    <w:rsid w:val="001F3C7D"/>
    <w:rsid w:val="001F40EB"/>
    <w:rsid w:val="001F4F54"/>
    <w:rsid w:val="0020454F"/>
    <w:rsid w:val="00204AE6"/>
    <w:rsid w:val="002053AF"/>
    <w:rsid w:val="0020739A"/>
    <w:rsid w:val="002205ED"/>
    <w:rsid w:val="00227C26"/>
    <w:rsid w:val="002321D3"/>
    <w:rsid w:val="00235E5F"/>
    <w:rsid w:val="00235E7E"/>
    <w:rsid w:val="00240080"/>
    <w:rsid w:val="00241563"/>
    <w:rsid w:val="00244BC6"/>
    <w:rsid w:val="00245057"/>
    <w:rsid w:val="002462FA"/>
    <w:rsid w:val="002506AD"/>
    <w:rsid w:val="00260325"/>
    <w:rsid w:val="00271D22"/>
    <w:rsid w:val="002745EE"/>
    <w:rsid w:val="0027486C"/>
    <w:rsid w:val="002777C1"/>
    <w:rsid w:val="00277D89"/>
    <w:rsid w:val="002802ED"/>
    <w:rsid w:val="00286FB1"/>
    <w:rsid w:val="00293E4A"/>
    <w:rsid w:val="00295647"/>
    <w:rsid w:val="00295CDE"/>
    <w:rsid w:val="002A0220"/>
    <w:rsid w:val="002A0AB9"/>
    <w:rsid w:val="002A583E"/>
    <w:rsid w:val="002A7A5F"/>
    <w:rsid w:val="002B5BA3"/>
    <w:rsid w:val="002B625F"/>
    <w:rsid w:val="002B6596"/>
    <w:rsid w:val="002C1B2B"/>
    <w:rsid w:val="002D0D56"/>
    <w:rsid w:val="002D17B9"/>
    <w:rsid w:val="002D3134"/>
    <w:rsid w:val="002D7A47"/>
    <w:rsid w:val="002E60F6"/>
    <w:rsid w:val="002E659A"/>
    <w:rsid w:val="002F2DC6"/>
    <w:rsid w:val="002F3324"/>
    <w:rsid w:val="002F3C57"/>
    <w:rsid w:val="002F4738"/>
    <w:rsid w:val="002F7D59"/>
    <w:rsid w:val="00301635"/>
    <w:rsid w:val="00303DD8"/>
    <w:rsid w:val="00312C05"/>
    <w:rsid w:val="00313ABF"/>
    <w:rsid w:val="0031428B"/>
    <w:rsid w:val="00331291"/>
    <w:rsid w:val="00335E85"/>
    <w:rsid w:val="003362E1"/>
    <w:rsid w:val="00341AAC"/>
    <w:rsid w:val="00345121"/>
    <w:rsid w:val="00345DC0"/>
    <w:rsid w:val="003513FF"/>
    <w:rsid w:val="00351B63"/>
    <w:rsid w:val="00356DC3"/>
    <w:rsid w:val="00363C8F"/>
    <w:rsid w:val="00365A39"/>
    <w:rsid w:val="00375834"/>
    <w:rsid w:val="003764EC"/>
    <w:rsid w:val="00376722"/>
    <w:rsid w:val="00377F80"/>
    <w:rsid w:val="00391371"/>
    <w:rsid w:val="003916E2"/>
    <w:rsid w:val="003953CD"/>
    <w:rsid w:val="0039638D"/>
    <w:rsid w:val="00397ADD"/>
    <w:rsid w:val="003B08C1"/>
    <w:rsid w:val="003B69B0"/>
    <w:rsid w:val="003C162C"/>
    <w:rsid w:val="003C1C02"/>
    <w:rsid w:val="003C3595"/>
    <w:rsid w:val="003C384C"/>
    <w:rsid w:val="003C7BC2"/>
    <w:rsid w:val="003D15A2"/>
    <w:rsid w:val="003D23C2"/>
    <w:rsid w:val="003D342F"/>
    <w:rsid w:val="003E08E5"/>
    <w:rsid w:val="003E4F52"/>
    <w:rsid w:val="003E6FEB"/>
    <w:rsid w:val="003F42E6"/>
    <w:rsid w:val="004020F1"/>
    <w:rsid w:val="004048BD"/>
    <w:rsid w:val="00404AA9"/>
    <w:rsid w:val="00407BA3"/>
    <w:rsid w:val="00412F55"/>
    <w:rsid w:val="0041368F"/>
    <w:rsid w:val="004219E8"/>
    <w:rsid w:val="00421A38"/>
    <w:rsid w:val="00422B0D"/>
    <w:rsid w:val="00424CA6"/>
    <w:rsid w:val="00432B4F"/>
    <w:rsid w:val="004330ED"/>
    <w:rsid w:val="00434612"/>
    <w:rsid w:val="00441B2E"/>
    <w:rsid w:val="00441C51"/>
    <w:rsid w:val="00446FE1"/>
    <w:rsid w:val="00451863"/>
    <w:rsid w:val="00455888"/>
    <w:rsid w:val="004578F6"/>
    <w:rsid w:val="00462C34"/>
    <w:rsid w:val="00462FEC"/>
    <w:rsid w:val="004747F5"/>
    <w:rsid w:val="004751C3"/>
    <w:rsid w:val="00481B44"/>
    <w:rsid w:val="00484172"/>
    <w:rsid w:val="00487565"/>
    <w:rsid w:val="00496239"/>
    <w:rsid w:val="004A2063"/>
    <w:rsid w:val="004A28EB"/>
    <w:rsid w:val="004B1FC0"/>
    <w:rsid w:val="004B2AA1"/>
    <w:rsid w:val="004B41A8"/>
    <w:rsid w:val="004B4D5E"/>
    <w:rsid w:val="004B730A"/>
    <w:rsid w:val="004C263E"/>
    <w:rsid w:val="004C2C27"/>
    <w:rsid w:val="004C3DC6"/>
    <w:rsid w:val="004C650D"/>
    <w:rsid w:val="004C7216"/>
    <w:rsid w:val="004D243E"/>
    <w:rsid w:val="004D4CA7"/>
    <w:rsid w:val="004D4CE3"/>
    <w:rsid w:val="004D4E6C"/>
    <w:rsid w:val="004D6231"/>
    <w:rsid w:val="004D6520"/>
    <w:rsid w:val="004E0EFB"/>
    <w:rsid w:val="004E190B"/>
    <w:rsid w:val="004E6AE5"/>
    <w:rsid w:val="004F11FF"/>
    <w:rsid w:val="004F1529"/>
    <w:rsid w:val="004F2180"/>
    <w:rsid w:val="004F34F3"/>
    <w:rsid w:val="004F7CA7"/>
    <w:rsid w:val="00500AE8"/>
    <w:rsid w:val="00505336"/>
    <w:rsid w:val="005111DF"/>
    <w:rsid w:val="00512306"/>
    <w:rsid w:val="00514DE1"/>
    <w:rsid w:val="00520790"/>
    <w:rsid w:val="00543B32"/>
    <w:rsid w:val="0055047C"/>
    <w:rsid w:val="00556B5D"/>
    <w:rsid w:val="00560383"/>
    <w:rsid w:val="00562E17"/>
    <w:rsid w:val="00564BB1"/>
    <w:rsid w:val="005660FF"/>
    <w:rsid w:val="00570261"/>
    <w:rsid w:val="00570ABB"/>
    <w:rsid w:val="00570DDE"/>
    <w:rsid w:val="005718FC"/>
    <w:rsid w:val="00571E74"/>
    <w:rsid w:val="0057637B"/>
    <w:rsid w:val="00577BC3"/>
    <w:rsid w:val="00580814"/>
    <w:rsid w:val="005831BA"/>
    <w:rsid w:val="00585254"/>
    <w:rsid w:val="00585B9B"/>
    <w:rsid w:val="00596548"/>
    <w:rsid w:val="005A14BC"/>
    <w:rsid w:val="005A17EA"/>
    <w:rsid w:val="005A29F1"/>
    <w:rsid w:val="005B2BD7"/>
    <w:rsid w:val="005B39F3"/>
    <w:rsid w:val="005B4934"/>
    <w:rsid w:val="005C05DC"/>
    <w:rsid w:val="005C1B9B"/>
    <w:rsid w:val="005C1FA4"/>
    <w:rsid w:val="005C28F8"/>
    <w:rsid w:val="005C63F3"/>
    <w:rsid w:val="005C6976"/>
    <w:rsid w:val="005C6EE9"/>
    <w:rsid w:val="005D0512"/>
    <w:rsid w:val="005D2378"/>
    <w:rsid w:val="005E4A86"/>
    <w:rsid w:val="005E6210"/>
    <w:rsid w:val="005E6E9B"/>
    <w:rsid w:val="005F18AE"/>
    <w:rsid w:val="005F37A4"/>
    <w:rsid w:val="0060562C"/>
    <w:rsid w:val="00605E13"/>
    <w:rsid w:val="00610D3A"/>
    <w:rsid w:val="00617E3B"/>
    <w:rsid w:val="0062081F"/>
    <w:rsid w:val="00621505"/>
    <w:rsid w:val="006225AD"/>
    <w:rsid w:val="00623759"/>
    <w:rsid w:val="00624E55"/>
    <w:rsid w:val="00640F9E"/>
    <w:rsid w:val="00645C43"/>
    <w:rsid w:val="006474CB"/>
    <w:rsid w:val="00655B4B"/>
    <w:rsid w:val="00660100"/>
    <w:rsid w:val="006605F7"/>
    <w:rsid w:val="006742FD"/>
    <w:rsid w:val="00675ACC"/>
    <w:rsid w:val="00676C1B"/>
    <w:rsid w:val="00677EAF"/>
    <w:rsid w:val="0068181B"/>
    <w:rsid w:val="00685BA7"/>
    <w:rsid w:val="00687A4C"/>
    <w:rsid w:val="00696DD4"/>
    <w:rsid w:val="006B6DB4"/>
    <w:rsid w:val="006B777A"/>
    <w:rsid w:val="006C4A3D"/>
    <w:rsid w:val="006C5F4F"/>
    <w:rsid w:val="006C6928"/>
    <w:rsid w:val="006C7DDA"/>
    <w:rsid w:val="006D20B5"/>
    <w:rsid w:val="006D2B08"/>
    <w:rsid w:val="006D6CCF"/>
    <w:rsid w:val="006D6DC2"/>
    <w:rsid w:val="006D7FDC"/>
    <w:rsid w:val="006E4EA7"/>
    <w:rsid w:val="006F3963"/>
    <w:rsid w:val="006F7860"/>
    <w:rsid w:val="00706FE1"/>
    <w:rsid w:val="00722316"/>
    <w:rsid w:val="00726CB3"/>
    <w:rsid w:val="00731853"/>
    <w:rsid w:val="0073290C"/>
    <w:rsid w:val="00735348"/>
    <w:rsid w:val="00751697"/>
    <w:rsid w:val="00751C14"/>
    <w:rsid w:val="007520C1"/>
    <w:rsid w:val="00753B02"/>
    <w:rsid w:val="007647E8"/>
    <w:rsid w:val="007707DE"/>
    <w:rsid w:val="0077119D"/>
    <w:rsid w:val="00772761"/>
    <w:rsid w:val="00772B05"/>
    <w:rsid w:val="00776EE9"/>
    <w:rsid w:val="00780102"/>
    <w:rsid w:val="00783A66"/>
    <w:rsid w:val="0078668D"/>
    <w:rsid w:val="00792818"/>
    <w:rsid w:val="00793A32"/>
    <w:rsid w:val="00796478"/>
    <w:rsid w:val="007A504A"/>
    <w:rsid w:val="007B53F7"/>
    <w:rsid w:val="007B60D7"/>
    <w:rsid w:val="007C07A3"/>
    <w:rsid w:val="007C11F1"/>
    <w:rsid w:val="007C2826"/>
    <w:rsid w:val="007C6CA8"/>
    <w:rsid w:val="007C6F3B"/>
    <w:rsid w:val="007C7363"/>
    <w:rsid w:val="007D35BB"/>
    <w:rsid w:val="007D47BB"/>
    <w:rsid w:val="007D68FC"/>
    <w:rsid w:val="007D793F"/>
    <w:rsid w:val="007E0DDD"/>
    <w:rsid w:val="007E301E"/>
    <w:rsid w:val="007E32DC"/>
    <w:rsid w:val="007E4A58"/>
    <w:rsid w:val="007E6992"/>
    <w:rsid w:val="007E7797"/>
    <w:rsid w:val="007F16E1"/>
    <w:rsid w:val="007F6309"/>
    <w:rsid w:val="00804353"/>
    <w:rsid w:val="0080525A"/>
    <w:rsid w:val="00807114"/>
    <w:rsid w:val="00821460"/>
    <w:rsid w:val="00822F7F"/>
    <w:rsid w:val="008237FD"/>
    <w:rsid w:val="00824AF4"/>
    <w:rsid w:val="00831E73"/>
    <w:rsid w:val="00832A75"/>
    <w:rsid w:val="008343C0"/>
    <w:rsid w:val="00835B0A"/>
    <w:rsid w:val="00836E29"/>
    <w:rsid w:val="00855219"/>
    <w:rsid w:val="00855B64"/>
    <w:rsid w:val="00857DCF"/>
    <w:rsid w:val="0086082A"/>
    <w:rsid w:val="00860B75"/>
    <w:rsid w:val="00866723"/>
    <w:rsid w:val="00871D8A"/>
    <w:rsid w:val="008728D9"/>
    <w:rsid w:val="008766A3"/>
    <w:rsid w:val="0088142F"/>
    <w:rsid w:val="008820ED"/>
    <w:rsid w:val="00882C43"/>
    <w:rsid w:val="008A00B2"/>
    <w:rsid w:val="008A11D8"/>
    <w:rsid w:val="008A166F"/>
    <w:rsid w:val="008A32AC"/>
    <w:rsid w:val="008A45E1"/>
    <w:rsid w:val="008A5D53"/>
    <w:rsid w:val="008A692E"/>
    <w:rsid w:val="008B0ADF"/>
    <w:rsid w:val="008B59A2"/>
    <w:rsid w:val="008B64E9"/>
    <w:rsid w:val="008B6F35"/>
    <w:rsid w:val="008B705B"/>
    <w:rsid w:val="008C0B0C"/>
    <w:rsid w:val="008C2DBA"/>
    <w:rsid w:val="008C4CF0"/>
    <w:rsid w:val="008C6D41"/>
    <w:rsid w:val="008D5C71"/>
    <w:rsid w:val="008E0809"/>
    <w:rsid w:val="008E0952"/>
    <w:rsid w:val="008E7B25"/>
    <w:rsid w:val="008F427A"/>
    <w:rsid w:val="00907804"/>
    <w:rsid w:val="0091125F"/>
    <w:rsid w:val="00914FC7"/>
    <w:rsid w:val="0092030D"/>
    <w:rsid w:val="00922EAC"/>
    <w:rsid w:val="0093125A"/>
    <w:rsid w:val="00933389"/>
    <w:rsid w:val="0093514E"/>
    <w:rsid w:val="009400EC"/>
    <w:rsid w:val="00941CAE"/>
    <w:rsid w:val="00950785"/>
    <w:rsid w:val="009508A6"/>
    <w:rsid w:val="00954C15"/>
    <w:rsid w:val="00955327"/>
    <w:rsid w:val="00955B28"/>
    <w:rsid w:val="009564CA"/>
    <w:rsid w:val="00967ABE"/>
    <w:rsid w:val="009730AA"/>
    <w:rsid w:val="009770A0"/>
    <w:rsid w:val="0098606C"/>
    <w:rsid w:val="009906FB"/>
    <w:rsid w:val="00990BD9"/>
    <w:rsid w:val="009945A8"/>
    <w:rsid w:val="00996B10"/>
    <w:rsid w:val="009A0333"/>
    <w:rsid w:val="009A243A"/>
    <w:rsid w:val="009A2D03"/>
    <w:rsid w:val="009A3704"/>
    <w:rsid w:val="009A5224"/>
    <w:rsid w:val="009A5AC3"/>
    <w:rsid w:val="009A69D4"/>
    <w:rsid w:val="009B03A0"/>
    <w:rsid w:val="009B1CB5"/>
    <w:rsid w:val="009B4113"/>
    <w:rsid w:val="009B518B"/>
    <w:rsid w:val="009B5882"/>
    <w:rsid w:val="009C2CC2"/>
    <w:rsid w:val="009C3E97"/>
    <w:rsid w:val="009C496F"/>
    <w:rsid w:val="009C5B20"/>
    <w:rsid w:val="009D047F"/>
    <w:rsid w:val="009D6EC0"/>
    <w:rsid w:val="009E00EE"/>
    <w:rsid w:val="009E226A"/>
    <w:rsid w:val="009E2CAB"/>
    <w:rsid w:val="009E7513"/>
    <w:rsid w:val="009F20E3"/>
    <w:rsid w:val="009F27FE"/>
    <w:rsid w:val="009F3811"/>
    <w:rsid w:val="00A00D28"/>
    <w:rsid w:val="00A02778"/>
    <w:rsid w:val="00A02AC1"/>
    <w:rsid w:val="00A02AC5"/>
    <w:rsid w:val="00A0386C"/>
    <w:rsid w:val="00A040AD"/>
    <w:rsid w:val="00A05F3F"/>
    <w:rsid w:val="00A0795E"/>
    <w:rsid w:val="00A10F2E"/>
    <w:rsid w:val="00A1122F"/>
    <w:rsid w:val="00A14C6F"/>
    <w:rsid w:val="00A1586F"/>
    <w:rsid w:val="00A16E68"/>
    <w:rsid w:val="00A21DD9"/>
    <w:rsid w:val="00A2265A"/>
    <w:rsid w:val="00A22EF6"/>
    <w:rsid w:val="00A24F7F"/>
    <w:rsid w:val="00A303EF"/>
    <w:rsid w:val="00A316F8"/>
    <w:rsid w:val="00A407A9"/>
    <w:rsid w:val="00A50423"/>
    <w:rsid w:val="00A50B5A"/>
    <w:rsid w:val="00A606C6"/>
    <w:rsid w:val="00A64B88"/>
    <w:rsid w:val="00A6735E"/>
    <w:rsid w:val="00A75E72"/>
    <w:rsid w:val="00A76273"/>
    <w:rsid w:val="00A814B7"/>
    <w:rsid w:val="00A8639F"/>
    <w:rsid w:val="00A91ABE"/>
    <w:rsid w:val="00A9272E"/>
    <w:rsid w:val="00A96992"/>
    <w:rsid w:val="00AA5F3E"/>
    <w:rsid w:val="00AA752B"/>
    <w:rsid w:val="00AB056F"/>
    <w:rsid w:val="00AB0EF5"/>
    <w:rsid w:val="00AB2A9D"/>
    <w:rsid w:val="00AB2EB0"/>
    <w:rsid w:val="00AB568F"/>
    <w:rsid w:val="00AC40D0"/>
    <w:rsid w:val="00AC50E7"/>
    <w:rsid w:val="00AC7B55"/>
    <w:rsid w:val="00AD124A"/>
    <w:rsid w:val="00AD4127"/>
    <w:rsid w:val="00AE09E9"/>
    <w:rsid w:val="00AE3064"/>
    <w:rsid w:val="00AE6F81"/>
    <w:rsid w:val="00AE7028"/>
    <w:rsid w:val="00AF6F5C"/>
    <w:rsid w:val="00B02C49"/>
    <w:rsid w:val="00B035AF"/>
    <w:rsid w:val="00B0479D"/>
    <w:rsid w:val="00B070A7"/>
    <w:rsid w:val="00B1024F"/>
    <w:rsid w:val="00B12EAA"/>
    <w:rsid w:val="00B1379F"/>
    <w:rsid w:val="00B200EC"/>
    <w:rsid w:val="00B2193C"/>
    <w:rsid w:val="00B21E4A"/>
    <w:rsid w:val="00B309BC"/>
    <w:rsid w:val="00B36D5E"/>
    <w:rsid w:val="00B36E3B"/>
    <w:rsid w:val="00B43103"/>
    <w:rsid w:val="00B47701"/>
    <w:rsid w:val="00B5671D"/>
    <w:rsid w:val="00B60491"/>
    <w:rsid w:val="00B61E7C"/>
    <w:rsid w:val="00B627D8"/>
    <w:rsid w:val="00B639A9"/>
    <w:rsid w:val="00B6635E"/>
    <w:rsid w:val="00B67065"/>
    <w:rsid w:val="00B72513"/>
    <w:rsid w:val="00B75AD9"/>
    <w:rsid w:val="00B76F4B"/>
    <w:rsid w:val="00B77903"/>
    <w:rsid w:val="00B81D31"/>
    <w:rsid w:val="00B83C6E"/>
    <w:rsid w:val="00B842F6"/>
    <w:rsid w:val="00B85083"/>
    <w:rsid w:val="00B87ABA"/>
    <w:rsid w:val="00B91F87"/>
    <w:rsid w:val="00B96632"/>
    <w:rsid w:val="00BA16BE"/>
    <w:rsid w:val="00BA23E3"/>
    <w:rsid w:val="00BA24BF"/>
    <w:rsid w:val="00BA56A5"/>
    <w:rsid w:val="00BA62A8"/>
    <w:rsid w:val="00BB49C3"/>
    <w:rsid w:val="00BB62FF"/>
    <w:rsid w:val="00BD28C8"/>
    <w:rsid w:val="00BD648D"/>
    <w:rsid w:val="00BE5224"/>
    <w:rsid w:val="00BE699E"/>
    <w:rsid w:val="00BF0FAF"/>
    <w:rsid w:val="00BF25E6"/>
    <w:rsid w:val="00BF526A"/>
    <w:rsid w:val="00C032C1"/>
    <w:rsid w:val="00C03DF3"/>
    <w:rsid w:val="00C11C74"/>
    <w:rsid w:val="00C1235C"/>
    <w:rsid w:val="00C12BA3"/>
    <w:rsid w:val="00C200B7"/>
    <w:rsid w:val="00C20B69"/>
    <w:rsid w:val="00C21513"/>
    <w:rsid w:val="00C2727F"/>
    <w:rsid w:val="00C300AA"/>
    <w:rsid w:val="00C32D1B"/>
    <w:rsid w:val="00C342FD"/>
    <w:rsid w:val="00C43DCB"/>
    <w:rsid w:val="00C46BDB"/>
    <w:rsid w:val="00C473C0"/>
    <w:rsid w:val="00C505BB"/>
    <w:rsid w:val="00C5388B"/>
    <w:rsid w:val="00C611DB"/>
    <w:rsid w:val="00C65B4F"/>
    <w:rsid w:val="00C672DC"/>
    <w:rsid w:val="00C710D0"/>
    <w:rsid w:val="00C77B4F"/>
    <w:rsid w:val="00C81B17"/>
    <w:rsid w:val="00C84EB2"/>
    <w:rsid w:val="00C85BD2"/>
    <w:rsid w:val="00C865C4"/>
    <w:rsid w:val="00C91CC9"/>
    <w:rsid w:val="00C95BA0"/>
    <w:rsid w:val="00CA0667"/>
    <w:rsid w:val="00CA685E"/>
    <w:rsid w:val="00CB0954"/>
    <w:rsid w:val="00CB4AB0"/>
    <w:rsid w:val="00CB64CD"/>
    <w:rsid w:val="00CB691E"/>
    <w:rsid w:val="00CB6EB7"/>
    <w:rsid w:val="00CB7658"/>
    <w:rsid w:val="00CC0007"/>
    <w:rsid w:val="00CC415A"/>
    <w:rsid w:val="00CD0183"/>
    <w:rsid w:val="00CD2518"/>
    <w:rsid w:val="00CE2FBB"/>
    <w:rsid w:val="00CE30D5"/>
    <w:rsid w:val="00CE3C78"/>
    <w:rsid w:val="00CE5DB9"/>
    <w:rsid w:val="00CF2E0E"/>
    <w:rsid w:val="00CF76BE"/>
    <w:rsid w:val="00D032F2"/>
    <w:rsid w:val="00D05698"/>
    <w:rsid w:val="00D07238"/>
    <w:rsid w:val="00D22490"/>
    <w:rsid w:val="00D27F53"/>
    <w:rsid w:val="00D300E6"/>
    <w:rsid w:val="00D304A8"/>
    <w:rsid w:val="00D32B48"/>
    <w:rsid w:val="00D32C85"/>
    <w:rsid w:val="00D35264"/>
    <w:rsid w:val="00D35769"/>
    <w:rsid w:val="00D37AE3"/>
    <w:rsid w:val="00D420F0"/>
    <w:rsid w:val="00D453D1"/>
    <w:rsid w:val="00D56670"/>
    <w:rsid w:val="00D64450"/>
    <w:rsid w:val="00D92C03"/>
    <w:rsid w:val="00D93BFF"/>
    <w:rsid w:val="00D94595"/>
    <w:rsid w:val="00D9528F"/>
    <w:rsid w:val="00D97691"/>
    <w:rsid w:val="00DB2ECA"/>
    <w:rsid w:val="00DC1777"/>
    <w:rsid w:val="00DD2EF3"/>
    <w:rsid w:val="00DD3EDA"/>
    <w:rsid w:val="00DD6867"/>
    <w:rsid w:val="00DE37E7"/>
    <w:rsid w:val="00DF4F9F"/>
    <w:rsid w:val="00DF5091"/>
    <w:rsid w:val="00E00090"/>
    <w:rsid w:val="00E01753"/>
    <w:rsid w:val="00E03251"/>
    <w:rsid w:val="00E06850"/>
    <w:rsid w:val="00E07D37"/>
    <w:rsid w:val="00E1007F"/>
    <w:rsid w:val="00E16298"/>
    <w:rsid w:val="00E16D56"/>
    <w:rsid w:val="00E307D1"/>
    <w:rsid w:val="00E30940"/>
    <w:rsid w:val="00E41128"/>
    <w:rsid w:val="00E46FC4"/>
    <w:rsid w:val="00E54219"/>
    <w:rsid w:val="00E55030"/>
    <w:rsid w:val="00E601CD"/>
    <w:rsid w:val="00E652D6"/>
    <w:rsid w:val="00E660BD"/>
    <w:rsid w:val="00E74694"/>
    <w:rsid w:val="00E82311"/>
    <w:rsid w:val="00E83B86"/>
    <w:rsid w:val="00E93CBA"/>
    <w:rsid w:val="00E96D1B"/>
    <w:rsid w:val="00EA2FDC"/>
    <w:rsid w:val="00EA348C"/>
    <w:rsid w:val="00EB029F"/>
    <w:rsid w:val="00EB3334"/>
    <w:rsid w:val="00EB3341"/>
    <w:rsid w:val="00EC5913"/>
    <w:rsid w:val="00EC7A27"/>
    <w:rsid w:val="00ED0ED1"/>
    <w:rsid w:val="00EE54F7"/>
    <w:rsid w:val="00EE7430"/>
    <w:rsid w:val="00EF1F76"/>
    <w:rsid w:val="00EF2964"/>
    <w:rsid w:val="00EF3302"/>
    <w:rsid w:val="00F02041"/>
    <w:rsid w:val="00F04E46"/>
    <w:rsid w:val="00F06DDD"/>
    <w:rsid w:val="00F1101B"/>
    <w:rsid w:val="00F11E1F"/>
    <w:rsid w:val="00F1318F"/>
    <w:rsid w:val="00F15C62"/>
    <w:rsid w:val="00F17616"/>
    <w:rsid w:val="00F23481"/>
    <w:rsid w:val="00F42EF2"/>
    <w:rsid w:val="00F44A07"/>
    <w:rsid w:val="00F51AEA"/>
    <w:rsid w:val="00F528FB"/>
    <w:rsid w:val="00F52E2E"/>
    <w:rsid w:val="00F72792"/>
    <w:rsid w:val="00F763C7"/>
    <w:rsid w:val="00F806FE"/>
    <w:rsid w:val="00F81917"/>
    <w:rsid w:val="00F823F8"/>
    <w:rsid w:val="00F82847"/>
    <w:rsid w:val="00F832F0"/>
    <w:rsid w:val="00F849CE"/>
    <w:rsid w:val="00F85B57"/>
    <w:rsid w:val="00F8736D"/>
    <w:rsid w:val="00F92491"/>
    <w:rsid w:val="00FA5955"/>
    <w:rsid w:val="00FC3A8B"/>
    <w:rsid w:val="00FC446D"/>
    <w:rsid w:val="00FC644F"/>
    <w:rsid w:val="00FC75FB"/>
    <w:rsid w:val="00FD6A5E"/>
    <w:rsid w:val="00FE1CC8"/>
    <w:rsid w:val="00FE6F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contacts" w:name="Sn"/>
  <w:smartTagType w:namespaceuri="urn:schemas-microsoft-com:office:smarttags" w:name="metricconverter"/>
  <w:smartTagType w:namespaceuri="urn:schemas-microsoft-com:office:smarttags" w:name="stockticker"/>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lace"/>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2" w:qFormat="1"/>
    <w:lsdException w:name="heading 2" w:semiHidden="0" w:uiPriority="2" w:qFormat="1"/>
    <w:lsdException w:name="heading 3" w:semiHidden="0" w:uiPriority="2" w:qFormat="1"/>
    <w:lsdException w:name="heading 4" w:uiPriority="2" w:unhideWhenUsed="1" w:qFormat="1"/>
    <w:lsdException w:name="heading 5" w:uiPriority="2" w:unhideWhenUsed="1" w:qFormat="1"/>
    <w:lsdException w:name="heading 6" w:uiPriority="2" w:unhideWhenUsed="1" w:qFormat="1"/>
    <w:lsdException w:name="heading 7" w:uiPriority="2" w:unhideWhenUsed="1" w:qFormat="1"/>
    <w:lsdException w:name="heading 8" w:uiPriority="2" w:unhideWhenUsed="1" w:qFormat="1"/>
    <w:lsdException w:name="heading 9" w:uiPriority="2"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lsdException w:name="toc 5" w:uiPriority="39" w:unhideWhenUsed="1"/>
    <w:lsdException w:name="toc 6" w:uiPriority="13" w:unhideWhenUsed="1"/>
    <w:lsdException w:name="toc 7" w:uiPriority="13" w:unhideWhenUsed="1"/>
    <w:lsdException w:name="toc 8" w:uiPriority="13" w:unhideWhenUsed="1"/>
    <w:lsdException w:name="toc 9" w:uiPriority="13" w:unhideWhenUsed="1"/>
    <w:lsdException w:name="annotation text" w:unhideWhenUsed="1"/>
    <w:lsdException w:name="header" w:unhideWhenUsed="1"/>
    <w:lsdException w:name="footer" w:unhideWhenUsed="1"/>
    <w:lsdException w:name="caption" w:uiPriority="5" w:unhideWhenUsed="1" w:qFormat="1"/>
    <w:lsdException w:name="table of figures" w:unhideWhenUsed="1"/>
    <w:lsdException w:name="page number" w:uiPriority="5"/>
    <w:lsdException w:name="table of authorities" w:unhideWhenUsed="1"/>
    <w:lsdException w:name="macro" w:unhideWhenUsed="1"/>
    <w:lsdException w:name="toa heading" w:unhideWhenUsed="1"/>
    <w:lsdException w:name="List Bullet" w:unhideWhenUsed="1"/>
    <w:lsdException w:name="List Bullet 2" w:unhideWhenUsed="1"/>
    <w:lsdException w:name="List Bullet 3" w:unhideWhenUsed="1"/>
    <w:lsdException w:name="List Bullet 4" w:unhideWhenUsed="1"/>
    <w:lsdException w:name="List Bullet 5" w:unhideWhenUsed="1"/>
    <w:lsdException w:name="Title" w:semiHidden="0" w:uiPriority="0" w:qFormat="1"/>
    <w:lsdException w:name="Default Paragraph Font" w:uiPriority="1" w:unhideWhenUsed="1"/>
    <w:lsdException w:name="Body Text" w:uiPriority="54"/>
    <w:lsdException w:name="Body Text Indent" w:uiPriority="54"/>
    <w:lsdException w:name="Message Header" w:unhideWhenUsed="1"/>
    <w:lsdException w:name="Subtitle" w:uiPriority="1" w:qFormat="1"/>
    <w:lsdException w:name="Body Text 2" w:uiPriority="54"/>
    <w:lsdException w:name="Block Text" w:unhideWhenUsed="1"/>
    <w:lsdException w:name="Strong" w:semiHidden="0" w:uiPriority="6" w:qFormat="1"/>
    <w:lsdException w:name="Emphasis" w:semiHidden="0" w:uiPriority="20" w:qFormat="1"/>
    <w:lsdException w:name="HTML Top of Form" w:unhideWhenUsed="1"/>
    <w:lsdException w:name="HTML Bottom of Form" w:unhideWhenUsed="1"/>
    <w:lsdException w:name="Normal (Web)"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17" w:qFormat="1"/>
    <w:lsdException w:name="Intense Quote" w:semiHidden="0" w:uiPriority="18"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6" w:qFormat="1"/>
    <w:lsdException w:name="Intense Emphasis" w:semiHidden="0" w:uiPriority="6" w:qFormat="1"/>
    <w:lsdException w:name="Subtle Reference" w:semiHidden="0" w:uiPriority="8" w:qFormat="1"/>
    <w:lsdException w:name="Intense Reference" w:semiHidden="0" w:uiPriority="9" w:qFormat="1"/>
    <w:lsdException w:name="Book Title" w:uiPriority="33" w:qFormat="1"/>
    <w:lsdException w:name="Bibliography" w:uiPriority="37"/>
    <w:lsdException w:name="TOC Heading" w:uiPriority="39" w:unhideWhenUsed="1" w:qFormat="1"/>
  </w:latentStyles>
  <w:style w:type="paragraph" w:default="1" w:styleId="Normal">
    <w:name w:val="Normal"/>
    <w:qFormat/>
    <w:rsid w:val="0093514E"/>
    <w:pPr>
      <w:spacing w:after="160" w:line="250" w:lineRule="exact"/>
    </w:pPr>
    <w:rPr>
      <w:sz w:val="21"/>
      <w:szCs w:val="21"/>
    </w:rPr>
  </w:style>
  <w:style w:type="paragraph" w:styleId="Heading1">
    <w:name w:val="heading 1"/>
    <w:aliases w:val="(Chapter)"/>
    <w:basedOn w:val="Normal"/>
    <w:next w:val="Normal"/>
    <w:uiPriority w:val="2"/>
    <w:qFormat/>
    <w:rsid w:val="00A96992"/>
    <w:pPr>
      <w:keepNext/>
      <w:pBdr>
        <w:bottom w:val="single" w:sz="4" w:space="1" w:color="84AA33"/>
      </w:pBdr>
      <w:outlineLvl w:val="0"/>
    </w:pPr>
    <w:rPr>
      <w:rFonts w:ascii="Calibri" w:hAnsi="Calibri"/>
      <w:b/>
      <w:caps/>
      <w:color w:val="0070C0"/>
      <w:spacing w:val="5"/>
      <w:kern w:val="28"/>
      <w:sz w:val="23"/>
      <w:szCs w:val="24"/>
    </w:rPr>
  </w:style>
  <w:style w:type="paragraph" w:styleId="Heading2">
    <w:name w:val="heading 2"/>
    <w:aliases w:val="(Section)"/>
    <w:basedOn w:val="Normal"/>
    <w:next w:val="Normal"/>
    <w:uiPriority w:val="2"/>
    <w:qFormat/>
    <w:rsid w:val="00A96992"/>
    <w:pPr>
      <w:keepNext/>
      <w:spacing w:after="120"/>
      <w:outlineLvl w:val="1"/>
    </w:pPr>
    <w:rPr>
      <w:rFonts w:ascii="Calibri" w:hAnsi="Calibri"/>
      <w:b/>
      <w:caps/>
      <w:sz w:val="23"/>
      <w:szCs w:val="24"/>
    </w:rPr>
  </w:style>
  <w:style w:type="paragraph" w:styleId="Heading3">
    <w:name w:val="heading 3"/>
    <w:aliases w:val="(Sub Section)"/>
    <w:basedOn w:val="Normal"/>
    <w:next w:val="Normal"/>
    <w:uiPriority w:val="2"/>
    <w:qFormat/>
    <w:rsid w:val="00A96992"/>
    <w:pPr>
      <w:keepNext/>
      <w:spacing w:before="100" w:after="40"/>
      <w:outlineLvl w:val="2"/>
    </w:pPr>
    <w:rPr>
      <w:rFonts w:ascii="Calibri" w:hAnsi="Calibri"/>
      <w:b/>
      <w:sz w:val="23"/>
    </w:rPr>
  </w:style>
  <w:style w:type="paragraph" w:styleId="Heading4">
    <w:name w:val="heading 4"/>
    <w:basedOn w:val="Normal"/>
    <w:next w:val="Normal"/>
    <w:link w:val="Heading4Char"/>
    <w:uiPriority w:val="2"/>
    <w:qFormat/>
    <w:rsid w:val="00A96992"/>
    <w:pPr>
      <w:keepNext/>
      <w:spacing w:before="100" w:after="40"/>
      <w:outlineLvl w:val="3"/>
    </w:pPr>
    <w:rPr>
      <w:b/>
      <w:color w:val="000000"/>
    </w:rPr>
  </w:style>
  <w:style w:type="paragraph" w:styleId="Heading5">
    <w:name w:val="heading 5"/>
    <w:basedOn w:val="Normal"/>
    <w:next w:val="Normal"/>
    <w:link w:val="Heading5Char"/>
    <w:uiPriority w:val="2"/>
    <w:semiHidden/>
    <w:unhideWhenUsed/>
    <w:qFormat/>
    <w:rsid w:val="00A96992"/>
    <w:pPr>
      <w:keepNext/>
      <w:spacing w:before="100" w:after="40"/>
      <w:outlineLvl w:val="4"/>
    </w:pPr>
    <w:rPr>
      <w:b/>
      <w:i/>
      <w:color w:val="000000"/>
    </w:rPr>
  </w:style>
  <w:style w:type="paragraph" w:styleId="Heading6">
    <w:name w:val="heading 6"/>
    <w:basedOn w:val="Normal"/>
    <w:next w:val="Normal"/>
    <w:link w:val="Heading6Char"/>
    <w:uiPriority w:val="2"/>
    <w:semiHidden/>
    <w:unhideWhenUsed/>
    <w:qFormat/>
    <w:rsid w:val="00A96992"/>
    <w:pPr>
      <w:keepNext/>
      <w:spacing w:before="100" w:after="40"/>
      <w:outlineLvl w:val="5"/>
    </w:pPr>
    <w:rPr>
      <w:i/>
      <w:color w:val="000000"/>
    </w:rPr>
  </w:style>
  <w:style w:type="paragraph" w:styleId="Heading7">
    <w:name w:val="heading 7"/>
    <w:basedOn w:val="Normal"/>
    <w:next w:val="Normal"/>
    <w:link w:val="Heading7Char"/>
    <w:uiPriority w:val="2"/>
    <w:semiHidden/>
    <w:unhideWhenUsed/>
    <w:qFormat/>
    <w:rsid w:val="00A96992"/>
    <w:pPr>
      <w:keepNext/>
      <w:spacing w:before="100" w:after="40"/>
      <w:outlineLvl w:val="6"/>
    </w:pPr>
    <w:rPr>
      <w:i/>
      <w:color w:val="5F5F5F"/>
    </w:rPr>
  </w:style>
  <w:style w:type="paragraph" w:styleId="Heading8">
    <w:name w:val="heading 8"/>
    <w:basedOn w:val="Normal"/>
    <w:next w:val="Normal"/>
    <w:link w:val="Heading8Char"/>
    <w:uiPriority w:val="2"/>
    <w:semiHidden/>
    <w:unhideWhenUsed/>
    <w:qFormat/>
    <w:rsid w:val="00A96992"/>
    <w:pPr>
      <w:keepNext/>
      <w:spacing w:before="100" w:after="40"/>
      <w:outlineLvl w:val="7"/>
    </w:pPr>
    <w:rPr>
      <w:rFonts w:ascii="Calibri" w:hAnsi="Calibri"/>
      <w:b/>
      <w:color w:val="404040"/>
    </w:rPr>
  </w:style>
  <w:style w:type="paragraph" w:styleId="Heading9">
    <w:name w:val="heading 9"/>
    <w:basedOn w:val="Normal"/>
    <w:next w:val="Normal"/>
    <w:link w:val="Heading9Char"/>
    <w:uiPriority w:val="2"/>
    <w:semiHidden/>
    <w:unhideWhenUsed/>
    <w:qFormat/>
    <w:rsid w:val="00A96992"/>
    <w:pPr>
      <w:keepNext/>
      <w:spacing w:before="100" w:after="40"/>
      <w:outlineLvl w:val="8"/>
    </w:pPr>
    <w:rPr>
      <w:rFonts w:ascii="Calibri" w:hAnsi="Calibri"/>
      <w:b/>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HeaderStyle"/>
    <w:link w:val="HeaderChar"/>
    <w:uiPriority w:val="99"/>
    <w:rsid w:val="00585254"/>
  </w:style>
  <w:style w:type="paragraph" w:styleId="Footer">
    <w:name w:val="footer"/>
    <w:basedOn w:val="Normal"/>
    <w:link w:val="FooterChar"/>
    <w:uiPriority w:val="5"/>
    <w:rsid w:val="002D17B9"/>
    <w:pPr>
      <w:tabs>
        <w:tab w:val="left" w:pos="360"/>
      </w:tabs>
      <w:spacing w:before="40" w:after="0"/>
    </w:pPr>
    <w:rPr>
      <w:rFonts w:ascii="Calibri" w:hAnsi="Calibri"/>
      <w:color w:val="404040"/>
      <w:sz w:val="15"/>
      <w:szCs w:val="16"/>
    </w:rPr>
  </w:style>
  <w:style w:type="paragraph" w:styleId="TOC4">
    <w:name w:val="toc 4"/>
    <w:basedOn w:val="TOC3"/>
    <w:next w:val="Normal"/>
    <w:autoRedefine/>
    <w:uiPriority w:val="39"/>
    <w:rsid w:val="00AE7028"/>
    <w:pPr>
      <w:ind w:left="540"/>
    </w:pPr>
  </w:style>
  <w:style w:type="paragraph" w:styleId="TOC1">
    <w:name w:val="toc 1"/>
    <w:basedOn w:val="Normal"/>
    <w:next w:val="Normal"/>
    <w:uiPriority w:val="39"/>
    <w:qFormat/>
    <w:rsid w:val="00AE7028"/>
    <w:pPr>
      <w:tabs>
        <w:tab w:val="right" w:leader="dot" w:pos="9720"/>
      </w:tabs>
      <w:spacing w:after="80"/>
    </w:pPr>
    <w:rPr>
      <w:b/>
      <w:noProof/>
    </w:rPr>
  </w:style>
  <w:style w:type="paragraph" w:styleId="TOC2">
    <w:name w:val="toc 2"/>
    <w:basedOn w:val="TOC1"/>
    <w:next w:val="Normal"/>
    <w:autoRedefine/>
    <w:uiPriority w:val="39"/>
    <w:qFormat/>
    <w:rsid w:val="00AE7028"/>
    <w:pPr>
      <w:ind w:left="180"/>
    </w:pPr>
    <w:rPr>
      <w:b w:val="0"/>
    </w:rPr>
  </w:style>
  <w:style w:type="paragraph" w:styleId="TOC3">
    <w:name w:val="toc 3"/>
    <w:basedOn w:val="TOC2"/>
    <w:next w:val="Normal"/>
    <w:autoRedefine/>
    <w:uiPriority w:val="39"/>
    <w:qFormat/>
    <w:rsid w:val="00AE7028"/>
    <w:pPr>
      <w:ind w:left="360"/>
    </w:pPr>
  </w:style>
  <w:style w:type="paragraph" w:styleId="TOC5">
    <w:name w:val="toc 5"/>
    <w:basedOn w:val="TOC3"/>
    <w:next w:val="Normal"/>
    <w:autoRedefine/>
    <w:uiPriority w:val="39"/>
    <w:rsid w:val="00AE7028"/>
    <w:pPr>
      <w:ind w:left="720"/>
    </w:pPr>
  </w:style>
  <w:style w:type="paragraph" w:styleId="TOC6">
    <w:name w:val="toc 6"/>
    <w:basedOn w:val="TOC3"/>
    <w:next w:val="Normal"/>
    <w:autoRedefine/>
    <w:uiPriority w:val="13"/>
    <w:rsid w:val="00AE7028"/>
    <w:pPr>
      <w:ind w:left="900"/>
    </w:pPr>
  </w:style>
  <w:style w:type="paragraph" w:styleId="TOC7">
    <w:name w:val="toc 7"/>
    <w:basedOn w:val="Normal"/>
    <w:next w:val="Normal"/>
    <w:autoRedefine/>
    <w:uiPriority w:val="13"/>
    <w:semiHidden/>
    <w:rsid w:val="002A0220"/>
    <w:pPr>
      <w:ind w:left="1320"/>
    </w:pPr>
  </w:style>
  <w:style w:type="paragraph" w:styleId="TOC8">
    <w:name w:val="toc 8"/>
    <w:basedOn w:val="Normal"/>
    <w:next w:val="Normal"/>
    <w:autoRedefine/>
    <w:uiPriority w:val="13"/>
    <w:semiHidden/>
    <w:rsid w:val="002A0220"/>
    <w:pPr>
      <w:ind w:left="1540"/>
    </w:pPr>
  </w:style>
  <w:style w:type="paragraph" w:styleId="TOC9">
    <w:name w:val="toc 9"/>
    <w:basedOn w:val="Normal"/>
    <w:next w:val="Normal"/>
    <w:autoRedefine/>
    <w:uiPriority w:val="13"/>
    <w:semiHidden/>
    <w:rsid w:val="002A0220"/>
    <w:pPr>
      <w:ind w:left="1760"/>
    </w:pPr>
  </w:style>
  <w:style w:type="paragraph" w:styleId="CommentText">
    <w:name w:val="annotation text"/>
    <w:basedOn w:val="Normal"/>
    <w:link w:val="CommentTextChar"/>
    <w:uiPriority w:val="99"/>
    <w:semiHidden/>
    <w:rsid w:val="002A0220"/>
    <w:rPr>
      <w:sz w:val="20"/>
    </w:rPr>
  </w:style>
  <w:style w:type="paragraph" w:styleId="ListBullet">
    <w:name w:val="List Bullet"/>
    <w:basedOn w:val="Normal"/>
    <w:link w:val="ListBulletChar"/>
    <w:uiPriority w:val="99"/>
    <w:semiHidden/>
    <w:rsid w:val="00A96992"/>
    <w:pPr>
      <w:keepNext/>
      <w:numPr>
        <w:numId w:val="2"/>
      </w:numPr>
      <w:suppressAutoHyphens/>
      <w:spacing w:after="120"/>
    </w:pPr>
    <w:rPr>
      <w:color w:val="000000"/>
    </w:rPr>
  </w:style>
  <w:style w:type="paragraph" w:customStyle="1" w:styleId="HeaderStyle">
    <w:name w:val="Header Style"/>
    <w:basedOn w:val="Normal"/>
    <w:link w:val="HeaderStyleChar"/>
    <w:uiPriority w:val="4"/>
    <w:qFormat/>
    <w:rsid w:val="00A0795E"/>
    <w:pPr>
      <w:suppressAutoHyphens/>
      <w:jc w:val="right"/>
    </w:pPr>
    <w:rPr>
      <w:rFonts w:ascii="Calibri" w:hAnsi="Calibri"/>
      <w:b/>
      <w:caps/>
      <w:color w:val="FFFFFF"/>
    </w:rPr>
  </w:style>
  <w:style w:type="character" w:customStyle="1" w:styleId="HeaderStyleChar">
    <w:name w:val="Header Style Char"/>
    <w:basedOn w:val="DefaultParagraphFont"/>
    <w:link w:val="HeaderStyle"/>
    <w:uiPriority w:val="4"/>
    <w:rsid w:val="00A0795E"/>
    <w:rPr>
      <w:rFonts w:ascii="Calibri" w:hAnsi="Calibri"/>
      <w:b/>
      <w:caps/>
      <w:color w:val="FFFFFF"/>
    </w:rPr>
  </w:style>
  <w:style w:type="character" w:customStyle="1" w:styleId="CommentTextChar">
    <w:name w:val="Comment Text Char"/>
    <w:basedOn w:val="DefaultParagraphFont"/>
    <w:link w:val="CommentText"/>
    <w:uiPriority w:val="99"/>
    <w:semiHidden/>
    <w:rsid w:val="007B60D7"/>
    <w:rPr>
      <w:sz w:val="20"/>
    </w:rPr>
  </w:style>
  <w:style w:type="table" w:customStyle="1" w:styleId="OBrienGereORANGE">
    <w:name w:val="O'Brien &amp; Gere ORANGE"/>
    <w:basedOn w:val="TableNormal"/>
    <w:uiPriority w:val="99"/>
    <w:qFormat/>
    <w:rsid w:val="00375834"/>
    <w:rPr>
      <w:rFonts w:ascii="Calibri" w:hAnsi="Calibri"/>
      <w:color w:val="000000"/>
    </w:rPr>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bottom w:val="single" w:sz="24" w:space="0" w:color="F88630"/>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F88630"/>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F88630"/>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BLUE">
    <w:name w:val="O'Brien &amp; Gere BLUE"/>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cantSplit/>
        <w:tblHeader/>
      </w:trPr>
      <w:tcPr>
        <w:tcBorders>
          <w:top w:val="nil"/>
          <w:left w:val="nil"/>
          <w:bottom w:val="single" w:sz="24" w:space="0" w:color="0070C0"/>
          <w:right w:val="nil"/>
          <w:insideH w:val="nil"/>
          <w:insideV w:val="nil"/>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0070C0"/>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0070C0"/>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GREEN">
    <w:name w:val="O'Brien &amp; Gere GREEN"/>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bottom w:val="single" w:sz="24" w:space="0" w:color="84AA33"/>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84AA33"/>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84AA33"/>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BROWN">
    <w:name w:val="O'Brien &amp; Gere BROWN"/>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top w:val="nil"/>
          <w:left w:val="nil"/>
          <w:bottom w:val="single" w:sz="24" w:space="0" w:color="996633"/>
          <w:right w:val="nil"/>
          <w:insideH w:val="nil"/>
          <w:insideV w:val="nil"/>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996633"/>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996633"/>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GREY">
    <w:name w:val="O'Brien &amp; Gere GREY"/>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bottom w:val="single" w:sz="24" w:space="0" w:color="808080"/>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808080"/>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808080"/>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styleId="TableGrid">
    <w:name w:val="Table Grid"/>
    <w:basedOn w:val="TableNormal"/>
    <w:uiPriority w:val="59"/>
    <w:rsid w:val="007E301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next w:val="Normal"/>
    <w:link w:val="TitleChar"/>
    <w:uiPriority w:val="1"/>
    <w:qFormat/>
    <w:rsid w:val="00A96992"/>
    <w:pPr>
      <w:pBdr>
        <w:bottom w:val="single" w:sz="8" w:space="4" w:color="76B23F"/>
      </w:pBdr>
      <w:spacing w:after="300" w:line="240" w:lineRule="auto"/>
      <w:contextualSpacing/>
    </w:pPr>
    <w:rPr>
      <w:rFonts w:ascii="Calibri" w:hAnsi="Calibri"/>
      <w:b/>
      <w:caps/>
      <w:color w:val="00467F"/>
      <w:spacing w:val="5"/>
      <w:kern w:val="28"/>
      <w:sz w:val="24"/>
      <w:szCs w:val="52"/>
    </w:rPr>
  </w:style>
  <w:style w:type="character" w:customStyle="1" w:styleId="TitleChar">
    <w:name w:val="Title Char"/>
    <w:basedOn w:val="DefaultParagraphFont"/>
    <w:link w:val="Title"/>
    <w:uiPriority w:val="1"/>
    <w:rsid w:val="00DD2EF3"/>
    <w:rPr>
      <w:rFonts w:ascii="Calibri" w:eastAsia="Times New Roman" w:hAnsi="Calibri" w:cs="Times New Roman"/>
      <w:b/>
      <w:caps/>
      <w:color w:val="00467F"/>
      <w:spacing w:val="5"/>
      <w:kern w:val="28"/>
      <w:sz w:val="24"/>
      <w:szCs w:val="52"/>
    </w:rPr>
  </w:style>
  <w:style w:type="numbering" w:customStyle="1" w:styleId="OBrienGere">
    <w:name w:val="O'Brien &amp; Gere"/>
    <w:uiPriority w:val="99"/>
    <w:rsid w:val="007E301E"/>
    <w:pPr>
      <w:numPr>
        <w:numId w:val="1"/>
      </w:numPr>
    </w:pPr>
  </w:style>
  <w:style w:type="character" w:customStyle="1" w:styleId="Heading4Char">
    <w:name w:val="Heading 4 Char"/>
    <w:basedOn w:val="DefaultParagraphFont"/>
    <w:link w:val="Heading4"/>
    <w:uiPriority w:val="2"/>
    <w:rsid w:val="007B60D7"/>
    <w:rPr>
      <w:b/>
      <w:color w:val="000000"/>
    </w:rPr>
  </w:style>
  <w:style w:type="character" w:customStyle="1" w:styleId="Heading5Char">
    <w:name w:val="Heading 5 Char"/>
    <w:basedOn w:val="DefaultParagraphFont"/>
    <w:link w:val="Heading5"/>
    <w:uiPriority w:val="2"/>
    <w:semiHidden/>
    <w:rsid w:val="00A50B5A"/>
    <w:rPr>
      <w:b/>
      <w:i/>
      <w:color w:val="000000"/>
    </w:rPr>
  </w:style>
  <w:style w:type="character" w:customStyle="1" w:styleId="Heading6Char">
    <w:name w:val="Heading 6 Char"/>
    <w:basedOn w:val="DefaultParagraphFont"/>
    <w:link w:val="Heading6"/>
    <w:uiPriority w:val="2"/>
    <w:semiHidden/>
    <w:rsid w:val="00A50B5A"/>
    <w:rPr>
      <w:i/>
      <w:color w:val="000000"/>
    </w:rPr>
  </w:style>
  <w:style w:type="character" w:customStyle="1" w:styleId="Heading7Char">
    <w:name w:val="Heading 7 Char"/>
    <w:basedOn w:val="DefaultParagraphFont"/>
    <w:link w:val="Heading7"/>
    <w:uiPriority w:val="2"/>
    <w:semiHidden/>
    <w:rsid w:val="00A50B5A"/>
    <w:rPr>
      <w:i/>
      <w:color w:val="5F5F5F"/>
    </w:rPr>
  </w:style>
  <w:style w:type="character" w:customStyle="1" w:styleId="Heading8Char">
    <w:name w:val="Heading 8 Char"/>
    <w:basedOn w:val="DefaultParagraphFont"/>
    <w:link w:val="Heading8"/>
    <w:uiPriority w:val="2"/>
    <w:semiHidden/>
    <w:rsid w:val="00A50B5A"/>
    <w:rPr>
      <w:rFonts w:ascii="Calibri" w:hAnsi="Calibri"/>
      <w:b/>
      <w:color w:val="404040"/>
    </w:rPr>
  </w:style>
  <w:style w:type="character" w:customStyle="1" w:styleId="Heading9Char">
    <w:name w:val="Heading 9 Char"/>
    <w:basedOn w:val="DefaultParagraphFont"/>
    <w:link w:val="Heading9"/>
    <w:uiPriority w:val="2"/>
    <w:semiHidden/>
    <w:rsid w:val="00A50B5A"/>
    <w:rPr>
      <w:rFonts w:ascii="Calibri" w:hAnsi="Calibri"/>
      <w:b/>
      <w:i/>
      <w:iCs/>
      <w:color w:val="404040"/>
      <w:szCs w:val="20"/>
    </w:rPr>
  </w:style>
  <w:style w:type="character" w:styleId="Strong">
    <w:name w:val="Strong"/>
    <w:uiPriority w:val="6"/>
    <w:qFormat/>
    <w:rsid w:val="00A96992"/>
    <w:rPr>
      <w:b/>
      <w:bCs/>
      <w:color w:val="0070C0"/>
    </w:rPr>
  </w:style>
  <w:style w:type="character" w:styleId="SubtleEmphasis">
    <w:name w:val="Subtle Emphasis"/>
    <w:uiPriority w:val="5"/>
    <w:qFormat/>
    <w:rsid w:val="00A96992"/>
    <w:rPr>
      <w:i/>
      <w:iCs/>
      <w:color w:val="8F4005"/>
    </w:rPr>
  </w:style>
  <w:style w:type="character" w:styleId="IntenseEmphasis">
    <w:name w:val="Intense Emphasis"/>
    <w:uiPriority w:val="6"/>
    <w:qFormat/>
    <w:rsid w:val="00A96992"/>
    <w:rPr>
      <w:b/>
      <w:bCs/>
      <w:i/>
      <w:iCs/>
      <w:color w:val="0070C0"/>
    </w:rPr>
  </w:style>
  <w:style w:type="character" w:styleId="SubtleReference">
    <w:name w:val="Subtle Reference"/>
    <w:uiPriority w:val="7"/>
    <w:qFormat/>
    <w:rsid w:val="00A96992"/>
    <w:rPr>
      <w:smallCaps/>
      <w:color w:val="8F4005"/>
    </w:rPr>
  </w:style>
  <w:style w:type="character" w:styleId="IntenseReference">
    <w:name w:val="Intense Reference"/>
    <w:uiPriority w:val="7"/>
    <w:qFormat/>
    <w:rsid w:val="00A96992"/>
    <w:rPr>
      <w:bCs/>
      <w:smallCaps/>
      <w:color w:val="0070C0"/>
      <w:spacing w:val="5"/>
    </w:rPr>
  </w:style>
  <w:style w:type="paragraph" w:styleId="Quote">
    <w:name w:val="Quote"/>
    <w:basedOn w:val="Normal"/>
    <w:next w:val="Normal"/>
    <w:link w:val="QuoteChar"/>
    <w:uiPriority w:val="17"/>
    <w:qFormat/>
    <w:rsid w:val="00A96992"/>
    <w:pPr>
      <w:keepNext/>
      <w:pBdr>
        <w:bottom w:val="single" w:sz="4" w:space="4" w:color="404040"/>
      </w:pBdr>
      <w:suppressAutoHyphens/>
      <w:spacing w:before="200" w:after="280"/>
      <w:ind w:left="576" w:right="576"/>
    </w:pPr>
    <w:rPr>
      <w:b/>
      <w:bCs/>
      <w:i/>
      <w:iCs/>
      <w:color w:val="000000"/>
    </w:rPr>
  </w:style>
  <w:style w:type="character" w:customStyle="1" w:styleId="QuoteChar">
    <w:name w:val="Quote Char"/>
    <w:basedOn w:val="DefaultParagraphFont"/>
    <w:link w:val="Quote"/>
    <w:uiPriority w:val="17"/>
    <w:rsid w:val="007B60D7"/>
    <w:rPr>
      <w:b/>
      <w:bCs/>
      <w:i/>
      <w:iCs/>
      <w:color w:val="000000"/>
    </w:rPr>
  </w:style>
  <w:style w:type="paragraph" w:styleId="IntenseQuote">
    <w:name w:val="Intense Quote"/>
    <w:basedOn w:val="Normal"/>
    <w:next w:val="Normal"/>
    <w:link w:val="IntenseQuoteChar"/>
    <w:uiPriority w:val="18"/>
    <w:qFormat/>
    <w:rsid w:val="00A96992"/>
    <w:pPr>
      <w:keepNext/>
      <w:pBdr>
        <w:bottom w:val="single" w:sz="4" w:space="4" w:color="84AA33"/>
      </w:pBdr>
      <w:suppressAutoHyphens/>
      <w:spacing w:before="200" w:after="280"/>
      <w:ind w:left="576" w:right="576"/>
    </w:pPr>
    <w:rPr>
      <w:b/>
      <w:bCs/>
      <w:i/>
      <w:iCs/>
      <w:color w:val="627F26"/>
    </w:rPr>
  </w:style>
  <w:style w:type="character" w:customStyle="1" w:styleId="IntenseQuoteChar">
    <w:name w:val="Intense Quote Char"/>
    <w:basedOn w:val="DefaultParagraphFont"/>
    <w:link w:val="IntenseQuote"/>
    <w:uiPriority w:val="18"/>
    <w:rsid w:val="007B60D7"/>
    <w:rPr>
      <w:b/>
      <w:bCs/>
      <w:i/>
      <w:iCs/>
      <w:color w:val="627F26"/>
    </w:rPr>
  </w:style>
  <w:style w:type="paragraph" w:customStyle="1" w:styleId="Sidebarstyle">
    <w:name w:val="Sidebar style"/>
    <w:basedOn w:val="Normal"/>
    <w:link w:val="SidebarstyleChar"/>
    <w:uiPriority w:val="6"/>
    <w:qFormat/>
    <w:rsid w:val="00A96992"/>
    <w:pPr>
      <w:keepNext/>
      <w:suppressAutoHyphens/>
      <w:spacing w:line="400" w:lineRule="exact"/>
      <w:jc w:val="right"/>
    </w:pPr>
    <w:rPr>
      <w:b/>
      <w:i/>
      <w:color w:val="0070C0"/>
      <w:sz w:val="32"/>
      <w:szCs w:val="32"/>
    </w:rPr>
  </w:style>
  <w:style w:type="paragraph" w:styleId="BlockText">
    <w:name w:val="Block Text"/>
    <w:basedOn w:val="Normal"/>
    <w:uiPriority w:val="99"/>
    <w:rsid w:val="00A96992"/>
    <w:pPr>
      <w:keepNext/>
      <w:framePr w:hSpace="144" w:vSpace="144" w:wrap="around" w:vAnchor="text" w:hAnchor="text" w:y="1"/>
      <w:pBdr>
        <w:top w:val="single" w:sz="2" w:space="10" w:color="BFBFBF"/>
        <w:left w:val="single" w:sz="2" w:space="10" w:color="BFBFBF"/>
        <w:bottom w:val="single" w:sz="2" w:space="6" w:color="BFBFBF"/>
        <w:right w:val="single" w:sz="2" w:space="10" w:color="BFBFBF"/>
      </w:pBdr>
      <w:shd w:val="clear" w:color="auto" w:fill="F2F2F2"/>
      <w:suppressAutoHyphens/>
      <w:spacing w:line="260" w:lineRule="exact"/>
      <w:ind w:left="432" w:right="432"/>
      <w:jc w:val="right"/>
    </w:pPr>
    <w:rPr>
      <w:b/>
      <w:i/>
      <w:iCs/>
      <w:color w:val="0070C0"/>
    </w:rPr>
  </w:style>
  <w:style w:type="character" w:customStyle="1" w:styleId="SidebarstyleChar">
    <w:name w:val="Sidebar style Char"/>
    <w:basedOn w:val="DefaultParagraphFont"/>
    <w:link w:val="Sidebarstyle"/>
    <w:uiPriority w:val="6"/>
    <w:rsid w:val="000F72E9"/>
    <w:rPr>
      <w:b/>
      <w:i/>
      <w:color w:val="0070C0"/>
      <w:sz w:val="32"/>
      <w:szCs w:val="32"/>
    </w:rPr>
  </w:style>
  <w:style w:type="paragraph" w:styleId="MessageHeader">
    <w:name w:val="Message Header"/>
    <w:basedOn w:val="Normal"/>
    <w:link w:val="MessageHeaderChar"/>
    <w:uiPriority w:val="99"/>
    <w:semiHidden/>
    <w:rsid w:val="00A96992"/>
    <w:pPr>
      <w:keepNext/>
      <w:pBdr>
        <w:top w:val="single" w:sz="6" w:space="1" w:color="D9D9D9"/>
        <w:left w:val="single" w:sz="6" w:space="1" w:color="D9D9D9"/>
        <w:bottom w:val="single" w:sz="6" w:space="1" w:color="D9D9D9"/>
        <w:right w:val="single" w:sz="6" w:space="1" w:color="D9D9D9"/>
      </w:pBdr>
      <w:shd w:val="pct10" w:color="auto" w:fill="auto"/>
      <w:suppressAutoHyphens/>
      <w:spacing w:after="0"/>
      <w:ind w:left="288" w:hanging="288"/>
    </w:pPr>
    <w:rPr>
      <w:rFonts w:ascii="Calibri" w:hAnsi="Calibri"/>
      <w:color w:val="000000"/>
      <w:szCs w:val="24"/>
    </w:rPr>
  </w:style>
  <w:style w:type="character" w:customStyle="1" w:styleId="MessageHeaderChar">
    <w:name w:val="Message Header Char"/>
    <w:basedOn w:val="DefaultParagraphFont"/>
    <w:link w:val="MessageHeader"/>
    <w:uiPriority w:val="99"/>
    <w:semiHidden/>
    <w:rsid w:val="000F72E9"/>
    <w:rPr>
      <w:rFonts w:ascii="Calibri" w:hAnsi="Calibri"/>
      <w:color w:val="000000"/>
      <w:szCs w:val="24"/>
      <w:shd w:val="pct10" w:color="auto" w:fill="auto"/>
    </w:rPr>
  </w:style>
  <w:style w:type="paragraph" w:styleId="MacroText">
    <w:name w:val="macro"/>
    <w:basedOn w:val="Normal"/>
    <w:link w:val="MacroTextChar"/>
    <w:uiPriority w:val="99"/>
    <w:semiHidden/>
    <w:rsid w:val="00A96992"/>
    <w:pPr>
      <w:keepNext/>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alibri" w:hAnsi="Calibri"/>
      <w:b/>
      <w:color w:val="000000"/>
      <w:sz w:val="20"/>
      <w:szCs w:val="20"/>
    </w:rPr>
  </w:style>
  <w:style w:type="character" w:customStyle="1" w:styleId="MacroTextChar">
    <w:name w:val="Macro Text Char"/>
    <w:basedOn w:val="DefaultParagraphFont"/>
    <w:link w:val="MacroText"/>
    <w:uiPriority w:val="99"/>
    <w:semiHidden/>
    <w:rsid w:val="000F72E9"/>
    <w:rPr>
      <w:rFonts w:ascii="Calibri" w:hAnsi="Calibri"/>
      <w:b/>
      <w:color w:val="000000"/>
      <w:sz w:val="20"/>
      <w:szCs w:val="20"/>
    </w:rPr>
  </w:style>
  <w:style w:type="paragraph" w:styleId="NormalWeb">
    <w:name w:val="Normal (Web)"/>
    <w:basedOn w:val="Normal"/>
    <w:uiPriority w:val="99"/>
    <w:semiHidden/>
    <w:rsid w:val="00A96992"/>
    <w:rPr>
      <w:szCs w:val="24"/>
    </w:rPr>
  </w:style>
  <w:style w:type="character" w:styleId="PlaceholderText">
    <w:name w:val="Placeholder Text"/>
    <w:basedOn w:val="DefaultParagraphFont"/>
    <w:uiPriority w:val="99"/>
    <w:semiHidden/>
    <w:rsid w:val="00A96992"/>
    <w:rPr>
      <w:color w:val="7F7F7F"/>
    </w:rPr>
  </w:style>
  <w:style w:type="paragraph" w:styleId="BalloonText">
    <w:name w:val="Balloon Text"/>
    <w:basedOn w:val="Normal"/>
    <w:link w:val="BalloonTextChar"/>
    <w:uiPriority w:val="54"/>
    <w:semiHidden/>
    <w:rsid w:val="000F72E9"/>
    <w:pPr>
      <w:spacing w:after="0" w:line="240" w:lineRule="auto"/>
    </w:pPr>
    <w:rPr>
      <w:rFonts w:ascii="Tahoma" w:hAnsi="Tahoma" w:cs="Tahoma"/>
      <w:sz w:val="16"/>
      <w:szCs w:val="16"/>
    </w:rPr>
  </w:style>
  <w:style w:type="paragraph" w:styleId="TableofAuthorities">
    <w:name w:val="table of authorities"/>
    <w:basedOn w:val="TOCHeading"/>
    <w:next w:val="Normal"/>
    <w:uiPriority w:val="12"/>
    <w:rsid w:val="00096DF7"/>
  </w:style>
  <w:style w:type="paragraph" w:styleId="TableofFigures">
    <w:name w:val="table of figures"/>
    <w:basedOn w:val="TableofAuthorities"/>
    <w:next w:val="Normal"/>
    <w:uiPriority w:val="12"/>
    <w:rsid w:val="00A96992"/>
  </w:style>
  <w:style w:type="paragraph" w:styleId="ListBullet2">
    <w:name w:val="List Bullet 2"/>
    <w:basedOn w:val="Normal"/>
    <w:link w:val="ListBullet2Char"/>
    <w:uiPriority w:val="99"/>
    <w:semiHidden/>
    <w:rsid w:val="00A96992"/>
    <w:pPr>
      <w:keepNext/>
      <w:numPr>
        <w:ilvl w:val="1"/>
        <w:numId w:val="2"/>
      </w:numPr>
      <w:suppressAutoHyphens/>
      <w:spacing w:after="120"/>
    </w:pPr>
    <w:rPr>
      <w:color w:val="000000"/>
    </w:rPr>
  </w:style>
  <w:style w:type="paragraph" w:styleId="ListBullet3">
    <w:name w:val="List Bullet 3"/>
    <w:basedOn w:val="Normal"/>
    <w:link w:val="ListBullet3Char"/>
    <w:uiPriority w:val="99"/>
    <w:semiHidden/>
    <w:rsid w:val="00A96992"/>
    <w:pPr>
      <w:keepNext/>
      <w:numPr>
        <w:ilvl w:val="2"/>
        <w:numId w:val="2"/>
      </w:numPr>
      <w:suppressAutoHyphens/>
      <w:spacing w:after="120"/>
    </w:pPr>
    <w:rPr>
      <w:color w:val="000000"/>
    </w:rPr>
  </w:style>
  <w:style w:type="paragraph" w:styleId="ListBullet4">
    <w:name w:val="List Bullet 4"/>
    <w:basedOn w:val="Normal"/>
    <w:link w:val="ListBullet4Char"/>
    <w:uiPriority w:val="99"/>
    <w:semiHidden/>
    <w:rsid w:val="00A96992"/>
    <w:pPr>
      <w:keepNext/>
      <w:numPr>
        <w:ilvl w:val="3"/>
        <w:numId w:val="2"/>
      </w:numPr>
      <w:suppressAutoHyphens/>
      <w:spacing w:after="120"/>
    </w:pPr>
    <w:rPr>
      <w:color w:val="000000"/>
    </w:rPr>
  </w:style>
  <w:style w:type="paragraph" w:styleId="ListBullet5">
    <w:name w:val="List Bullet 5"/>
    <w:basedOn w:val="Normal"/>
    <w:link w:val="ListBullet5Char"/>
    <w:uiPriority w:val="99"/>
    <w:semiHidden/>
    <w:rsid w:val="00A96992"/>
    <w:pPr>
      <w:keepNext/>
      <w:numPr>
        <w:ilvl w:val="4"/>
        <w:numId w:val="2"/>
      </w:numPr>
      <w:suppressAutoHyphens/>
      <w:spacing w:after="120"/>
    </w:pPr>
    <w:rPr>
      <w:color w:val="000000"/>
    </w:rPr>
  </w:style>
  <w:style w:type="paragraph" w:customStyle="1" w:styleId="Bullet-1">
    <w:name w:val="Bullet - 1"/>
    <w:basedOn w:val="ListBullet"/>
    <w:link w:val="Bullet-1Char"/>
    <w:uiPriority w:val="3"/>
    <w:qFormat/>
    <w:rsid w:val="00A96992"/>
  </w:style>
  <w:style w:type="paragraph" w:customStyle="1" w:styleId="Bullet-2">
    <w:name w:val="Bullet - 2"/>
    <w:basedOn w:val="ListBullet2"/>
    <w:link w:val="Bullet-2Char"/>
    <w:uiPriority w:val="3"/>
    <w:qFormat/>
    <w:rsid w:val="00A96992"/>
  </w:style>
  <w:style w:type="character" w:customStyle="1" w:styleId="ListBulletChar">
    <w:name w:val="List Bullet Char"/>
    <w:basedOn w:val="DefaultParagraphFont"/>
    <w:link w:val="ListBullet"/>
    <w:uiPriority w:val="99"/>
    <w:semiHidden/>
    <w:rsid w:val="000F72E9"/>
    <w:rPr>
      <w:color w:val="000000"/>
    </w:rPr>
  </w:style>
  <w:style w:type="character" w:customStyle="1" w:styleId="Bullet-1Char">
    <w:name w:val="Bullet - 1 Char"/>
    <w:basedOn w:val="ListBulletChar"/>
    <w:link w:val="Bullet-1"/>
    <w:uiPriority w:val="3"/>
    <w:rsid w:val="00A96992"/>
    <w:rPr>
      <w:color w:val="000000"/>
    </w:rPr>
  </w:style>
  <w:style w:type="paragraph" w:customStyle="1" w:styleId="Bullet-3">
    <w:name w:val="Bullet - 3"/>
    <w:basedOn w:val="ListBullet3"/>
    <w:link w:val="Bullet-3Char"/>
    <w:uiPriority w:val="3"/>
    <w:qFormat/>
    <w:rsid w:val="00A96992"/>
  </w:style>
  <w:style w:type="character" w:customStyle="1" w:styleId="ListBullet2Char">
    <w:name w:val="List Bullet 2 Char"/>
    <w:basedOn w:val="DefaultParagraphFont"/>
    <w:link w:val="ListBullet2"/>
    <w:uiPriority w:val="99"/>
    <w:semiHidden/>
    <w:rsid w:val="000F72E9"/>
    <w:rPr>
      <w:color w:val="000000"/>
    </w:rPr>
  </w:style>
  <w:style w:type="character" w:customStyle="1" w:styleId="Bullet-2Char">
    <w:name w:val="Bullet - 2 Char"/>
    <w:basedOn w:val="ListBullet2Char"/>
    <w:link w:val="Bullet-2"/>
    <w:uiPriority w:val="3"/>
    <w:rsid w:val="00A96992"/>
    <w:rPr>
      <w:color w:val="000000"/>
    </w:rPr>
  </w:style>
  <w:style w:type="paragraph" w:customStyle="1" w:styleId="Bullet-4">
    <w:name w:val="Bullet - 4"/>
    <w:basedOn w:val="ListBullet4"/>
    <w:link w:val="Bullet-4Char"/>
    <w:uiPriority w:val="3"/>
    <w:qFormat/>
    <w:rsid w:val="00A96992"/>
  </w:style>
  <w:style w:type="character" w:customStyle="1" w:styleId="ListBullet3Char">
    <w:name w:val="List Bullet 3 Char"/>
    <w:basedOn w:val="DefaultParagraphFont"/>
    <w:link w:val="ListBullet3"/>
    <w:uiPriority w:val="99"/>
    <w:semiHidden/>
    <w:rsid w:val="000F72E9"/>
    <w:rPr>
      <w:color w:val="000000"/>
    </w:rPr>
  </w:style>
  <w:style w:type="character" w:customStyle="1" w:styleId="Bullet-3Char">
    <w:name w:val="Bullet - 3 Char"/>
    <w:basedOn w:val="ListBullet3Char"/>
    <w:link w:val="Bullet-3"/>
    <w:uiPriority w:val="3"/>
    <w:rsid w:val="00A96992"/>
    <w:rPr>
      <w:color w:val="000000"/>
    </w:rPr>
  </w:style>
  <w:style w:type="paragraph" w:customStyle="1" w:styleId="Bullet-5">
    <w:name w:val="Bullet - 5"/>
    <w:basedOn w:val="ListBullet5"/>
    <w:link w:val="Bullet5Char"/>
    <w:uiPriority w:val="3"/>
    <w:qFormat/>
    <w:rsid w:val="00A96992"/>
  </w:style>
  <w:style w:type="character" w:customStyle="1" w:styleId="ListBullet4Char">
    <w:name w:val="List Bullet 4 Char"/>
    <w:basedOn w:val="DefaultParagraphFont"/>
    <w:link w:val="ListBullet4"/>
    <w:uiPriority w:val="99"/>
    <w:semiHidden/>
    <w:rsid w:val="000F72E9"/>
    <w:rPr>
      <w:color w:val="000000"/>
    </w:rPr>
  </w:style>
  <w:style w:type="character" w:customStyle="1" w:styleId="Bullet-4Char">
    <w:name w:val="Bullet - 4 Char"/>
    <w:basedOn w:val="ListBullet4Char"/>
    <w:link w:val="Bullet-4"/>
    <w:uiPriority w:val="3"/>
    <w:rsid w:val="00A96992"/>
    <w:rPr>
      <w:color w:val="000000"/>
    </w:rPr>
  </w:style>
  <w:style w:type="paragraph" w:customStyle="1" w:styleId="Bullet-6">
    <w:name w:val="Bullet - 6"/>
    <w:basedOn w:val="Normal"/>
    <w:link w:val="Bullet-6Char"/>
    <w:uiPriority w:val="3"/>
    <w:qFormat/>
    <w:rsid w:val="00A96992"/>
    <w:pPr>
      <w:keepNext/>
      <w:numPr>
        <w:ilvl w:val="5"/>
        <w:numId w:val="2"/>
      </w:numPr>
      <w:suppressAutoHyphens/>
      <w:spacing w:after="120"/>
    </w:pPr>
    <w:rPr>
      <w:color w:val="000000"/>
    </w:rPr>
  </w:style>
  <w:style w:type="character" w:customStyle="1" w:styleId="ListBullet5Char">
    <w:name w:val="List Bullet 5 Char"/>
    <w:basedOn w:val="DefaultParagraphFont"/>
    <w:link w:val="ListBullet5"/>
    <w:uiPriority w:val="99"/>
    <w:semiHidden/>
    <w:rsid w:val="000F72E9"/>
    <w:rPr>
      <w:color w:val="000000"/>
    </w:rPr>
  </w:style>
  <w:style w:type="character" w:customStyle="1" w:styleId="Bullet5Char">
    <w:name w:val="Bullet 5 Char"/>
    <w:basedOn w:val="ListBullet5Char"/>
    <w:link w:val="Bullet-5"/>
    <w:uiPriority w:val="3"/>
    <w:rsid w:val="00A96992"/>
    <w:rPr>
      <w:color w:val="000000"/>
    </w:rPr>
  </w:style>
  <w:style w:type="paragraph" w:customStyle="1" w:styleId="Bullet-7">
    <w:name w:val="Bullet - 7"/>
    <w:basedOn w:val="Normal"/>
    <w:link w:val="Bullet-7Char"/>
    <w:uiPriority w:val="3"/>
    <w:qFormat/>
    <w:rsid w:val="00A96992"/>
    <w:pPr>
      <w:keepNext/>
      <w:numPr>
        <w:ilvl w:val="6"/>
        <w:numId w:val="2"/>
      </w:numPr>
      <w:suppressAutoHyphens/>
      <w:spacing w:after="120"/>
    </w:pPr>
    <w:rPr>
      <w:color w:val="000000"/>
    </w:rPr>
  </w:style>
  <w:style w:type="character" w:customStyle="1" w:styleId="Bullet-6Char">
    <w:name w:val="Bullet - 6 Char"/>
    <w:basedOn w:val="DefaultParagraphFont"/>
    <w:link w:val="Bullet-6"/>
    <w:uiPriority w:val="3"/>
    <w:rsid w:val="007B60D7"/>
    <w:rPr>
      <w:color w:val="000000"/>
    </w:rPr>
  </w:style>
  <w:style w:type="paragraph" w:customStyle="1" w:styleId="Bullet-8">
    <w:name w:val="Bullet - 8"/>
    <w:basedOn w:val="Normal"/>
    <w:link w:val="Bullet-8Char"/>
    <w:uiPriority w:val="3"/>
    <w:qFormat/>
    <w:rsid w:val="00A96992"/>
    <w:pPr>
      <w:keepNext/>
      <w:numPr>
        <w:ilvl w:val="7"/>
        <w:numId w:val="2"/>
      </w:numPr>
      <w:suppressAutoHyphens/>
      <w:spacing w:after="120"/>
    </w:pPr>
    <w:rPr>
      <w:color w:val="000000"/>
    </w:rPr>
  </w:style>
  <w:style w:type="character" w:customStyle="1" w:styleId="Bullet-7Char">
    <w:name w:val="Bullet - 7 Char"/>
    <w:basedOn w:val="DefaultParagraphFont"/>
    <w:link w:val="Bullet-7"/>
    <w:uiPriority w:val="3"/>
    <w:rsid w:val="007B60D7"/>
    <w:rPr>
      <w:color w:val="000000"/>
    </w:rPr>
  </w:style>
  <w:style w:type="paragraph" w:customStyle="1" w:styleId="Bullet-9">
    <w:name w:val="Bullet - 9"/>
    <w:basedOn w:val="Normal"/>
    <w:link w:val="Bullet-9Char"/>
    <w:uiPriority w:val="3"/>
    <w:qFormat/>
    <w:rsid w:val="00A96992"/>
    <w:pPr>
      <w:keepNext/>
      <w:numPr>
        <w:ilvl w:val="8"/>
        <w:numId w:val="2"/>
      </w:numPr>
      <w:suppressAutoHyphens/>
      <w:spacing w:after="120"/>
    </w:pPr>
    <w:rPr>
      <w:color w:val="000000"/>
    </w:rPr>
  </w:style>
  <w:style w:type="character" w:customStyle="1" w:styleId="Bullet-8Char">
    <w:name w:val="Bullet - 8 Char"/>
    <w:basedOn w:val="DefaultParagraphFont"/>
    <w:link w:val="Bullet-8"/>
    <w:uiPriority w:val="3"/>
    <w:rsid w:val="007B60D7"/>
    <w:rPr>
      <w:color w:val="000000"/>
    </w:rPr>
  </w:style>
  <w:style w:type="character" w:customStyle="1" w:styleId="Bullet-9Char">
    <w:name w:val="Bullet - 9 Char"/>
    <w:basedOn w:val="DefaultParagraphFont"/>
    <w:link w:val="Bullet-9"/>
    <w:uiPriority w:val="3"/>
    <w:rsid w:val="007B60D7"/>
    <w:rPr>
      <w:color w:val="000000"/>
    </w:rPr>
  </w:style>
  <w:style w:type="paragraph" w:customStyle="1" w:styleId="Table-Title">
    <w:name w:val="Table - Title"/>
    <w:basedOn w:val="Normal"/>
    <w:link w:val="Table-TitleChar"/>
    <w:uiPriority w:val="22"/>
    <w:qFormat/>
    <w:rsid w:val="000F72E9"/>
    <w:pPr>
      <w:keepNext/>
      <w:suppressAutoHyphens/>
      <w:spacing w:after="0"/>
      <w:jc w:val="center"/>
    </w:pPr>
    <w:rPr>
      <w:rFonts w:ascii="Calibri" w:hAnsi="Calibri"/>
      <w:b/>
      <w:color w:val="FFFFFF"/>
      <w:sz w:val="24"/>
      <w:szCs w:val="24"/>
    </w:rPr>
  </w:style>
  <w:style w:type="paragraph" w:customStyle="1" w:styleId="Table-Subtitle">
    <w:name w:val="Table - Subtitle"/>
    <w:basedOn w:val="Table-Title"/>
    <w:link w:val="Table-SubtitleChar"/>
    <w:uiPriority w:val="23"/>
    <w:qFormat/>
    <w:rsid w:val="00DD2EF3"/>
    <w:pPr>
      <w:spacing w:line="240" w:lineRule="auto"/>
      <w:jc w:val="left"/>
    </w:pPr>
    <w:rPr>
      <w:bCs/>
    </w:rPr>
  </w:style>
  <w:style w:type="character" w:customStyle="1" w:styleId="Table-TitleChar">
    <w:name w:val="Table - Title Char"/>
    <w:basedOn w:val="DefaultParagraphFont"/>
    <w:link w:val="Table-Title"/>
    <w:uiPriority w:val="22"/>
    <w:rsid w:val="00DD2EF3"/>
    <w:rPr>
      <w:rFonts w:ascii="Calibri" w:hAnsi="Calibri"/>
      <w:b/>
      <w:color w:val="FFFFFF"/>
      <w:sz w:val="24"/>
      <w:szCs w:val="24"/>
    </w:rPr>
  </w:style>
  <w:style w:type="paragraph" w:customStyle="1" w:styleId="Table-Column1">
    <w:name w:val="Table - Column 1"/>
    <w:basedOn w:val="Normal"/>
    <w:link w:val="Table-Column1Char"/>
    <w:uiPriority w:val="24"/>
    <w:qFormat/>
    <w:rsid w:val="00DD2EF3"/>
    <w:pPr>
      <w:keepNext/>
      <w:suppressAutoHyphens/>
      <w:spacing w:after="0"/>
    </w:pPr>
    <w:rPr>
      <w:rFonts w:ascii="Calibri" w:hAnsi="Calibri"/>
      <w:b/>
      <w:bCs/>
      <w:color w:val="000000"/>
    </w:rPr>
  </w:style>
  <w:style w:type="character" w:customStyle="1" w:styleId="Table-SubtitleChar">
    <w:name w:val="Table - Subtitle Char"/>
    <w:basedOn w:val="DefaultParagraphFont"/>
    <w:link w:val="Table-Subtitle"/>
    <w:uiPriority w:val="23"/>
    <w:rsid w:val="00DD2EF3"/>
    <w:rPr>
      <w:rFonts w:ascii="Calibri" w:hAnsi="Calibri"/>
      <w:b/>
      <w:bCs/>
      <w:color w:val="FFFFFF"/>
      <w:sz w:val="24"/>
      <w:szCs w:val="24"/>
    </w:rPr>
  </w:style>
  <w:style w:type="paragraph" w:customStyle="1" w:styleId="Table-ColumnsRows">
    <w:name w:val="Table - Columns &amp; Rows"/>
    <w:basedOn w:val="Normal"/>
    <w:link w:val="Table-ColumnsRowsChar"/>
    <w:uiPriority w:val="24"/>
    <w:qFormat/>
    <w:rsid w:val="002F3C57"/>
    <w:pPr>
      <w:keepNext/>
      <w:suppressAutoHyphens/>
      <w:spacing w:after="0"/>
    </w:pPr>
    <w:rPr>
      <w:rFonts w:ascii="Calibri" w:hAnsi="Calibri"/>
      <w:color w:val="000000"/>
    </w:rPr>
  </w:style>
  <w:style w:type="character" w:customStyle="1" w:styleId="Table-Column1Char">
    <w:name w:val="Table - Column 1 Char"/>
    <w:basedOn w:val="DefaultParagraphFont"/>
    <w:link w:val="Table-Column1"/>
    <w:uiPriority w:val="24"/>
    <w:rsid w:val="00DD2EF3"/>
    <w:rPr>
      <w:rFonts w:ascii="Calibri" w:hAnsi="Calibri"/>
      <w:b/>
      <w:bCs/>
      <w:color w:val="000000"/>
    </w:rPr>
  </w:style>
  <w:style w:type="paragraph" w:styleId="TOCHeading">
    <w:name w:val="TOC Heading"/>
    <w:basedOn w:val="Normal"/>
    <w:next w:val="Normal"/>
    <w:link w:val="TOCHeadingChar"/>
    <w:uiPriority w:val="39"/>
    <w:qFormat/>
    <w:rsid w:val="00077DD6"/>
    <w:pPr>
      <w:keepLines/>
      <w:pBdr>
        <w:bottom w:val="single" w:sz="4" w:space="1" w:color="84AA33"/>
      </w:pBdr>
      <w:suppressAutoHyphens/>
      <w:spacing w:before="200" w:after="240" w:line="360" w:lineRule="exact"/>
      <w:outlineLvl w:val="0"/>
    </w:pPr>
    <w:rPr>
      <w:rFonts w:ascii="Calibri" w:hAnsi="Calibri"/>
      <w:b/>
      <w:bCs/>
      <w:iCs/>
      <w:caps/>
      <w:noProof/>
      <w:color w:val="0070C0"/>
      <w:spacing w:val="20"/>
      <w:sz w:val="32"/>
      <w:szCs w:val="24"/>
    </w:rPr>
  </w:style>
  <w:style w:type="character" w:customStyle="1" w:styleId="Table-ColumnsRowsChar">
    <w:name w:val="Table - Columns &amp; Rows Char"/>
    <w:basedOn w:val="DefaultParagraphFont"/>
    <w:link w:val="Table-ColumnsRows"/>
    <w:uiPriority w:val="24"/>
    <w:rsid w:val="00DD2EF3"/>
    <w:rPr>
      <w:rFonts w:ascii="Calibri" w:hAnsi="Calibri"/>
      <w:color w:val="000000"/>
    </w:rPr>
  </w:style>
  <w:style w:type="paragraph" w:styleId="Caption">
    <w:name w:val="caption"/>
    <w:basedOn w:val="Normal"/>
    <w:next w:val="Normal"/>
    <w:uiPriority w:val="5"/>
    <w:qFormat/>
    <w:rsid w:val="00585254"/>
    <w:pPr>
      <w:spacing w:after="200" w:line="240" w:lineRule="auto"/>
    </w:pPr>
    <w:rPr>
      <w:rFonts w:ascii="Calibri" w:hAnsi="Calibri"/>
      <w:b/>
      <w:bCs/>
      <w:color w:val="000000"/>
      <w:sz w:val="18"/>
      <w:szCs w:val="18"/>
    </w:rPr>
  </w:style>
  <w:style w:type="paragraph" w:customStyle="1" w:styleId="SidebarStyle0">
    <w:name w:val="Sidebar Style"/>
    <w:basedOn w:val="Normal"/>
    <w:link w:val="SidebarStyleChar0"/>
    <w:uiPriority w:val="21"/>
    <w:qFormat/>
    <w:rsid w:val="00AB568F"/>
    <w:pPr>
      <w:keepNext/>
      <w:suppressAutoHyphens/>
      <w:spacing w:line="400" w:lineRule="exact"/>
      <w:jc w:val="right"/>
    </w:pPr>
    <w:rPr>
      <w:b/>
      <w:i/>
      <w:color w:val="0070C0"/>
      <w:sz w:val="32"/>
      <w:szCs w:val="32"/>
    </w:rPr>
  </w:style>
  <w:style w:type="character" w:customStyle="1" w:styleId="SidebarStyleChar0">
    <w:name w:val="Sidebar Style Char"/>
    <w:basedOn w:val="DefaultParagraphFont"/>
    <w:link w:val="SidebarStyle0"/>
    <w:uiPriority w:val="21"/>
    <w:rsid w:val="00AB568F"/>
    <w:rPr>
      <w:b/>
      <w:i/>
      <w:color w:val="0070C0"/>
      <w:sz w:val="32"/>
      <w:szCs w:val="32"/>
    </w:rPr>
  </w:style>
  <w:style w:type="paragraph" w:customStyle="1" w:styleId="OrgChart-Level2">
    <w:name w:val="OrgChart - Level 2"/>
    <w:basedOn w:val="Normal"/>
    <w:link w:val="OrgChart-Level2Char"/>
    <w:uiPriority w:val="26"/>
    <w:qFormat/>
    <w:rsid w:val="00AB568F"/>
    <w:pPr>
      <w:spacing w:after="60" w:line="240" w:lineRule="auto"/>
      <w:jc w:val="center"/>
    </w:pPr>
    <w:rPr>
      <w:rFonts w:ascii="Calibri" w:hAnsi="Calibri"/>
      <w:b/>
      <w:color w:val="000000"/>
    </w:rPr>
  </w:style>
  <w:style w:type="paragraph" w:customStyle="1" w:styleId="OrgChart-Level3">
    <w:name w:val="OrgChart - Level 3"/>
    <w:basedOn w:val="Normal"/>
    <w:link w:val="OrgChart-Level3Char"/>
    <w:uiPriority w:val="27"/>
    <w:qFormat/>
    <w:rsid w:val="00AB568F"/>
    <w:pPr>
      <w:spacing w:after="60" w:line="240" w:lineRule="auto"/>
      <w:jc w:val="center"/>
    </w:pPr>
    <w:rPr>
      <w:rFonts w:ascii="Calibri" w:hAnsi="Calibri"/>
      <w:color w:val="000000"/>
    </w:rPr>
  </w:style>
  <w:style w:type="character" w:customStyle="1" w:styleId="OrgChart-Level2Char">
    <w:name w:val="OrgChart - Level 2 Char"/>
    <w:basedOn w:val="DefaultParagraphFont"/>
    <w:link w:val="OrgChart-Level2"/>
    <w:uiPriority w:val="26"/>
    <w:rsid w:val="00AB568F"/>
    <w:rPr>
      <w:rFonts w:ascii="Calibri" w:hAnsi="Calibri"/>
      <w:b/>
      <w:color w:val="000000"/>
    </w:rPr>
  </w:style>
  <w:style w:type="character" w:customStyle="1" w:styleId="OrgChart-Level3Char">
    <w:name w:val="OrgChart - Level 3 Char"/>
    <w:basedOn w:val="DefaultParagraphFont"/>
    <w:link w:val="OrgChart-Level3"/>
    <w:uiPriority w:val="27"/>
    <w:rsid w:val="00AB568F"/>
    <w:rPr>
      <w:rFonts w:ascii="Calibri" w:hAnsi="Calibri"/>
      <w:color w:val="000000"/>
    </w:rPr>
  </w:style>
  <w:style w:type="paragraph" w:customStyle="1" w:styleId="OrgChart-Level1BLUE">
    <w:name w:val="OrgChart - Level 1 BLUE"/>
    <w:basedOn w:val="Normal"/>
    <w:link w:val="OrgChart-Level1BLUEChar"/>
    <w:uiPriority w:val="26"/>
    <w:qFormat/>
    <w:rsid w:val="00AB568F"/>
    <w:pPr>
      <w:pBdr>
        <w:bottom w:val="single" w:sz="6" w:space="1" w:color="000000"/>
      </w:pBdr>
      <w:shd w:val="clear" w:color="auto" w:fill="0070C0"/>
      <w:spacing w:after="60" w:line="240" w:lineRule="auto"/>
      <w:jc w:val="center"/>
    </w:pPr>
    <w:rPr>
      <w:rFonts w:ascii="Calibri" w:hAnsi="Calibri"/>
      <w:b/>
      <w:color w:val="FFFFFF"/>
    </w:rPr>
  </w:style>
  <w:style w:type="character" w:customStyle="1" w:styleId="OrgChart-Level1BLUEChar">
    <w:name w:val="OrgChart - Level 1 BLUE Char"/>
    <w:basedOn w:val="DefaultParagraphFont"/>
    <w:link w:val="OrgChart-Level1BLUE"/>
    <w:uiPriority w:val="26"/>
    <w:rsid w:val="00AB568F"/>
    <w:rPr>
      <w:rFonts w:ascii="Calibri" w:hAnsi="Calibri"/>
      <w:b/>
      <w:color w:val="FFFFFF"/>
      <w:shd w:val="clear" w:color="auto" w:fill="0070C0"/>
    </w:rPr>
  </w:style>
  <w:style w:type="paragraph" w:customStyle="1" w:styleId="OrgChart-Title">
    <w:name w:val="OrgChart - Title"/>
    <w:basedOn w:val="Normal"/>
    <w:link w:val="OrgChart-TitleChar"/>
    <w:uiPriority w:val="25"/>
    <w:qFormat/>
    <w:rsid w:val="00AB568F"/>
    <w:pPr>
      <w:keepNext/>
      <w:suppressAutoHyphens/>
      <w:spacing w:after="80" w:line="290" w:lineRule="exact"/>
      <w:jc w:val="center"/>
    </w:pPr>
    <w:rPr>
      <w:b/>
      <w:color w:val="000000"/>
      <w:sz w:val="25"/>
      <w:szCs w:val="28"/>
    </w:rPr>
  </w:style>
  <w:style w:type="character" w:customStyle="1" w:styleId="OrgChart-TitleChar">
    <w:name w:val="OrgChart - Title Char"/>
    <w:basedOn w:val="DefaultParagraphFont"/>
    <w:link w:val="OrgChart-Title"/>
    <w:uiPriority w:val="25"/>
    <w:rsid w:val="00AB568F"/>
    <w:rPr>
      <w:b/>
      <w:color w:val="000000"/>
      <w:sz w:val="25"/>
      <w:szCs w:val="28"/>
    </w:rPr>
  </w:style>
  <w:style w:type="paragraph" w:customStyle="1" w:styleId="OrgChart-Level1BROWN">
    <w:name w:val="OrgChart - Level 1 BROWN"/>
    <w:basedOn w:val="OrgChart-Level1BLUE"/>
    <w:link w:val="OrgChart-Level1BROWNChar"/>
    <w:uiPriority w:val="26"/>
    <w:qFormat/>
    <w:rsid w:val="00AB568F"/>
    <w:pPr>
      <w:shd w:val="clear" w:color="auto" w:fill="996633"/>
    </w:pPr>
  </w:style>
  <w:style w:type="character" w:customStyle="1" w:styleId="OrgChart-Level1BROWNChar">
    <w:name w:val="OrgChart - Level 1 BROWN Char"/>
    <w:basedOn w:val="OrgChart-Level1BLUEChar"/>
    <w:link w:val="OrgChart-Level1BROWN"/>
    <w:uiPriority w:val="26"/>
    <w:rsid w:val="00AB568F"/>
    <w:rPr>
      <w:rFonts w:ascii="Calibri" w:hAnsi="Calibri"/>
      <w:b/>
      <w:color w:val="FFFFFF"/>
      <w:shd w:val="clear" w:color="auto" w:fill="996633"/>
    </w:rPr>
  </w:style>
  <w:style w:type="paragraph" w:customStyle="1" w:styleId="OrgChart-Level1GREEN">
    <w:name w:val="OrgChart - Level 1 GREEN"/>
    <w:link w:val="OrgChart-Level1GREENChar"/>
    <w:uiPriority w:val="26"/>
    <w:qFormat/>
    <w:rsid w:val="00AB568F"/>
    <w:pPr>
      <w:pBdr>
        <w:bottom w:val="single" w:sz="6" w:space="1" w:color="000000"/>
      </w:pBdr>
      <w:shd w:val="clear" w:color="auto" w:fill="76B23F"/>
      <w:spacing w:after="60"/>
      <w:jc w:val="center"/>
    </w:pPr>
    <w:rPr>
      <w:rFonts w:ascii="Calibri" w:hAnsi="Calibri"/>
      <w:b/>
      <w:color w:val="000000"/>
      <w:sz w:val="21"/>
      <w:szCs w:val="21"/>
    </w:rPr>
  </w:style>
  <w:style w:type="character" w:customStyle="1" w:styleId="OrgChart-Level1GREENChar">
    <w:name w:val="OrgChart - Level 1 GREEN Char"/>
    <w:basedOn w:val="DefaultParagraphFont"/>
    <w:link w:val="OrgChart-Level1GREEN"/>
    <w:uiPriority w:val="26"/>
    <w:rsid w:val="00AB568F"/>
    <w:rPr>
      <w:rFonts w:ascii="Calibri" w:hAnsi="Calibri"/>
      <w:b/>
      <w:color w:val="000000"/>
      <w:sz w:val="21"/>
      <w:szCs w:val="21"/>
      <w:shd w:val="clear" w:color="auto" w:fill="76B23F"/>
      <w:lang w:val="en-US" w:eastAsia="en-US" w:bidi="ar-SA"/>
    </w:rPr>
  </w:style>
  <w:style w:type="paragraph" w:customStyle="1" w:styleId="PullQuote">
    <w:name w:val="Pull Quote"/>
    <w:basedOn w:val="Normal"/>
    <w:link w:val="PullQuoteChar"/>
    <w:uiPriority w:val="21"/>
    <w:qFormat/>
    <w:rsid w:val="001568B4"/>
    <w:pPr>
      <w:keepNext/>
      <w:suppressAutoHyphens/>
      <w:spacing w:after="0" w:line="280" w:lineRule="exact"/>
      <w:ind w:left="360"/>
      <w:jc w:val="right"/>
    </w:pPr>
    <w:rPr>
      <w:b/>
      <w:i/>
      <w:color w:val="0070C0"/>
      <w:sz w:val="24"/>
      <w:szCs w:val="24"/>
    </w:rPr>
  </w:style>
  <w:style w:type="character" w:customStyle="1" w:styleId="PullQuoteChar">
    <w:name w:val="Pull Quote Char"/>
    <w:basedOn w:val="DefaultParagraphFont"/>
    <w:link w:val="PullQuote"/>
    <w:uiPriority w:val="21"/>
    <w:rsid w:val="00AF6F5C"/>
    <w:rPr>
      <w:b/>
      <w:i/>
      <w:color w:val="0070C0"/>
      <w:sz w:val="24"/>
      <w:szCs w:val="24"/>
    </w:rPr>
  </w:style>
  <w:style w:type="paragraph" w:customStyle="1" w:styleId="OrgChart-Italics">
    <w:name w:val="OrgChart - Italics"/>
    <w:basedOn w:val="OrgChart-Level3"/>
    <w:link w:val="OrgChart-ItalicsChar"/>
    <w:uiPriority w:val="27"/>
    <w:qFormat/>
    <w:rsid w:val="004A28EB"/>
    <w:rPr>
      <w:i/>
    </w:rPr>
  </w:style>
  <w:style w:type="character" w:customStyle="1" w:styleId="OrgChart-ItalicsChar">
    <w:name w:val="OrgChart - Italics Char"/>
    <w:basedOn w:val="OrgChart-Level3Char"/>
    <w:link w:val="OrgChart-Italics"/>
    <w:uiPriority w:val="27"/>
    <w:rsid w:val="004A28EB"/>
    <w:rPr>
      <w:rFonts w:ascii="Calibri" w:hAnsi="Calibri"/>
      <w:i/>
      <w:color w:val="000000"/>
    </w:rPr>
  </w:style>
  <w:style w:type="character" w:customStyle="1" w:styleId="BalloonTextChar">
    <w:name w:val="Balloon Text Char"/>
    <w:basedOn w:val="DefaultParagraphFont"/>
    <w:link w:val="BalloonText"/>
    <w:uiPriority w:val="54"/>
    <w:semiHidden/>
    <w:rsid w:val="00DD2EF3"/>
    <w:rPr>
      <w:rFonts w:ascii="Tahoma" w:hAnsi="Tahoma" w:cs="Tahoma"/>
      <w:sz w:val="16"/>
      <w:szCs w:val="16"/>
    </w:rPr>
  </w:style>
  <w:style w:type="character" w:styleId="CommentReference">
    <w:name w:val="annotation reference"/>
    <w:basedOn w:val="DefaultParagraphFont"/>
    <w:uiPriority w:val="99"/>
    <w:semiHidden/>
    <w:rsid w:val="001353D9"/>
    <w:rPr>
      <w:sz w:val="16"/>
      <w:szCs w:val="16"/>
    </w:rPr>
  </w:style>
  <w:style w:type="paragraph" w:styleId="CommentSubject">
    <w:name w:val="annotation subject"/>
    <w:basedOn w:val="CommentText"/>
    <w:next w:val="CommentText"/>
    <w:link w:val="CommentSubjectChar"/>
    <w:uiPriority w:val="54"/>
    <w:semiHidden/>
    <w:rsid w:val="001353D9"/>
    <w:pPr>
      <w:jc w:val="both"/>
    </w:pPr>
    <w:rPr>
      <w:b/>
      <w:bCs/>
    </w:rPr>
  </w:style>
  <w:style w:type="character" w:customStyle="1" w:styleId="CommentSubjectChar">
    <w:name w:val="Comment Subject Char"/>
    <w:basedOn w:val="CommentTextChar"/>
    <w:link w:val="CommentSubject"/>
    <w:uiPriority w:val="54"/>
    <w:semiHidden/>
    <w:rsid w:val="00DD2EF3"/>
    <w:rPr>
      <w:b/>
      <w:bCs/>
      <w:sz w:val="20"/>
    </w:rPr>
  </w:style>
  <w:style w:type="character" w:customStyle="1" w:styleId="HeaderChar">
    <w:name w:val="Header Char"/>
    <w:basedOn w:val="DefaultParagraphFont"/>
    <w:link w:val="Header"/>
    <w:uiPriority w:val="99"/>
    <w:rsid w:val="000F72E9"/>
    <w:rPr>
      <w:rFonts w:ascii="Calibri Bold" w:hAnsi="Calibri Bold"/>
      <w:b/>
      <w:caps/>
      <w:color w:val="FFFFFF"/>
    </w:rPr>
  </w:style>
  <w:style w:type="character" w:styleId="Emphasis">
    <w:name w:val="Emphasis"/>
    <w:basedOn w:val="DefaultParagraphFont"/>
    <w:uiPriority w:val="6"/>
    <w:qFormat/>
    <w:rsid w:val="001353D9"/>
    <w:rPr>
      <w:b/>
      <w:bCs/>
      <w:i w:val="0"/>
      <w:iCs w:val="0"/>
    </w:rPr>
  </w:style>
  <w:style w:type="paragraph" w:styleId="Revision">
    <w:name w:val="Revision"/>
    <w:hidden/>
    <w:uiPriority w:val="99"/>
    <w:semiHidden/>
    <w:rsid w:val="001353D9"/>
    <w:rPr>
      <w:rFonts w:ascii="Times New Roman" w:hAnsi="Times New Roman"/>
      <w:sz w:val="22"/>
    </w:rPr>
  </w:style>
  <w:style w:type="character" w:customStyle="1" w:styleId="FooterChar">
    <w:name w:val="Footer Char"/>
    <w:basedOn w:val="DefaultParagraphFont"/>
    <w:link w:val="Footer"/>
    <w:uiPriority w:val="5"/>
    <w:rsid w:val="00A0795E"/>
    <w:rPr>
      <w:rFonts w:ascii="Calibri" w:hAnsi="Calibri"/>
      <w:color w:val="404040"/>
      <w:sz w:val="15"/>
      <w:szCs w:val="16"/>
    </w:rPr>
  </w:style>
  <w:style w:type="paragraph" w:customStyle="1" w:styleId="Listof">
    <w:name w:val="List of ..."/>
    <w:basedOn w:val="TOCHeading"/>
    <w:next w:val="Normal"/>
    <w:link w:val="ListofChar"/>
    <w:uiPriority w:val="11"/>
    <w:qFormat/>
    <w:rsid w:val="00AE7028"/>
  </w:style>
  <w:style w:type="character" w:customStyle="1" w:styleId="TOCHeadingChar">
    <w:name w:val="TOC Heading Char"/>
    <w:basedOn w:val="DefaultParagraphFont"/>
    <w:link w:val="TOCHeading"/>
    <w:uiPriority w:val="12"/>
    <w:rsid w:val="000F72E9"/>
    <w:rPr>
      <w:rFonts w:ascii="Calibri" w:hAnsi="Calibri"/>
      <w:b/>
      <w:bCs/>
      <w:iCs/>
      <w:caps/>
      <w:noProof/>
      <w:color w:val="0070C0"/>
      <w:spacing w:val="20"/>
      <w:sz w:val="32"/>
      <w:szCs w:val="24"/>
    </w:rPr>
  </w:style>
  <w:style w:type="character" w:customStyle="1" w:styleId="ListofChar">
    <w:name w:val="List of ... Char"/>
    <w:basedOn w:val="TOCHeadingChar"/>
    <w:link w:val="Listof"/>
    <w:uiPriority w:val="11"/>
    <w:rsid w:val="00AE7028"/>
    <w:rPr>
      <w:rFonts w:ascii="Calibri" w:hAnsi="Calibri"/>
      <w:b/>
      <w:bCs/>
      <w:iCs/>
      <w:caps/>
      <w:noProof/>
      <w:color w:val="0070C0"/>
      <w:spacing w:val="20"/>
      <w:sz w:val="32"/>
      <w:szCs w:val="24"/>
    </w:rPr>
  </w:style>
  <w:style w:type="paragraph" w:customStyle="1" w:styleId="COVER-Title">
    <w:name w:val="COVER-Title"/>
    <w:basedOn w:val="Normal"/>
    <w:uiPriority w:val="49"/>
    <w:unhideWhenUsed/>
    <w:qFormat/>
    <w:rsid w:val="006D2B08"/>
    <w:pPr>
      <w:suppressAutoHyphens/>
      <w:spacing w:after="40" w:line="440" w:lineRule="exact"/>
      <w:jc w:val="right"/>
    </w:pPr>
    <w:rPr>
      <w:rFonts w:eastAsia="Calibri"/>
      <w:b/>
      <w:color w:val="FFFFFF"/>
      <w:sz w:val="40"/>
      <w:szCs w:val="24"/>
    </w:rPr>
  </w:style>
  <w:style w:type="paragraph" w:customStyle="1" w:styleId="COVER-Date">
    <w:name w:val="COVER-Date"/>
    <w:basedOn w:val="Normal"/>
    <w:uiPriority w:val="49"/>
    <w:unhideWhenUsed/>
    <w:qFormat/>
    <w:rsid w:val="006D2B08"/>
    <w:pPr>
      <w:spacing w:line="360" w:lineRule="exact"/>
      <w:jc w:val="right"/>
    </w:pPr>
    <w:rPr>
      <w:rFonts w:ascii="Calibri" w:eastAsia="Calibri" w:hAnsi="Calibri"/>
      <w:b/>
      <w:color w:val="FFFFFF"/>
      <w:sz w:val="32"/>
      <w:szCs w:val="32"/>
    </w:rPr>
  </w:style>
  <w:style w:type="paragraph" w:customStyle="1" w:styleId="TypeofDocument">
    <w:name w:val="Type of Document"/>
    <w:basedOn w:val="Normal"/>
    <w:link w:val="TypeofDocumentChar"/>
    <w:uiPriority w:val="49"/>
    <w:unhideWhenUsed/>
    <w:qFormat/>
    <w:rsid w:val="006D2B08"/>
    <w:pPr>
      <w:suppressAutoHyphens/>
      <w:spacing w:line="320" w:lineRule="exact"/>
      <w:jc w:val="right"/>
    </w:pPr>
    <w:rPr>
      <w:rFonts w:ascii="Calibri" w:eastAsia="Calibri" w:hAnsi="Calibri"/>
      <w:b/>
      <w:caps/>
      <w:color w:val="FFFFFF"/>
      <w:sz w:val="28"/>
    </w:rPr>
  </w:style>
  <w:style w:type="paragraph" w:customStyle="1" w:styleId="COVER-ClientName">
    <w:name w:val="COVER-Client Name"/>
    <w:basedOn w:val="Normal"/>
    <w:link w:val="COVER-ClientNameChar"/>
    <w:uiPriority w:val="49"/>
    <w:unhideWhenUsed/>
    <w:qFormat/>
    <w:rsid w:val="006D2B08"/>
    <w:pPr>
      <w:suppressAutoHyphens/>
      <w:spacing w:after="40" w:line="360" w:lineRule="exact"/>
      <w:jc w:val="right"/>
    </w:pPr>
    <w:rPr>
      <w:rFonts w:ascii="Calibri" w:eastAsia="Calibri" w:hAnsi="Calibri"/>
      <w:b/>
      <w:color w:val="FFFFFF"/>
      <w:sz w:val="32"/>
    </w:rPr>
  </w:style>
  <w:style w:type="character" w:customStyle="1" w:styleId="TypeofDocumentChar">
    <w:name w:val="Type of Document Char"/>
    <w:basedOn w:val="DefaultParagraphFont"/>
    <w:link w:val="TypeofDocument"/>
    <w:uiPriority w:val="49"/>
    <w:rsid w:val="000F72E9"/>
    <w:rPr>
      <w:rFonts w:ascii="Calibri" w:eastAsia="Calibri" w:hAnsi="Calibri"/>
      <w:b/>
      <w:caps/>
      <w:color w:val="FFFFFF"/>
      <w:sz w:val="28"/>
    </w:rPr>
  </w:style>
  <w:style w:type="character" w:customStyle="1" w:styleId="COVER-ClientNameChar">
    <w:name w:val="COVER-Client Name Char"/>
    <w:basedOn w:val="DefaultParagraphFont"/>
    <w:link w:val="COVER-ClientName"/>
    <w:uiPriority w:val="49"/>
    <w:rsid w:val="000F72E9"/>
    <w:rPr>
      <w:rFonts w:ascii="Calibri" w:eastAsia="Calibri" w:hAnsi="Calibri"/>
      <w:b/>
      <w:color w:val="FFFFFF"/>
      <w:sz w:val="32"/>
    </w:rPr>
  </w:style>
  <w:style w:type="character" w:styleId="Hyperlink">
    <w:name w:val="Hyperlink"/>
    <w:basedOn w:val="DefaultParagraphFont"/>
    <w:uiPriority w:val="99"/>
    <w:unhideWhenUsed/>
    <w:rsid w:val="00735348"/>
    <w:rPr>
      <w:color w:val="0084B4"/>
      <w:u w:val="single"/>
    </w:rPr>
  </w:style>
  <w:style w:type="paragraph" w:styleId="Subtitle">
    <w:name w:val="Subtitle"/>
    <w:basedOn w:val="Title"/>
    <w:next w:val="Normal"/>
    <w:link w:val="SubtitleChar"/>
    <w:uiPriority w:val="49"/>
    <w:semiHidden/>
    <w:unhideWhenUsed/>
    <w:qFormat/>
    <w:rsid w:val="00F04E46"/>
    <w:pPr>
      <w:keepLines/>
      <w:pBdr>
        <w:bottom w:val="none" w:sz="0" w:space="0" w:color="auto"/>
      </w:pBdr>
      <w:suppressAutoHyphens/>
      <w:spacing w:after="0" w:line="360" w:lineRule="exact"/>
      <w:contextualSpacing w:val="0"/>
      <w:jc w:val="right"/>
    </w:pPr>
    <w:rPr>
      <w:caps w:val="0"/>
      <w:color w:val="000000"/>
      <w:spacing w:val="0"/>
      <w:kern w:val="0"/>
      <w:sz w:val="28"/>
      <w:szCs w:val="28"/>
    </w:rPr>
  </w:style>
  <w:style w:type="character" w:customStyle="1" w:styleId="SubtitleChar">
    <w:name w:val="Subtitle Char"/>
    <w:basedOn w:val="DefaultParagraphFont"/>
    <w:link w:val="Subtitle"/>
    <w:uiPriority w:val="49"/>
    <w:semiHidden/>
    <w:rsid w:val="000F72E9"/>
    <w:rPr>
      <w:rFonts w:ascii="Calibri" w:hAnsi="Calibri"/>
      <w:b/>
      <w:color w:val="000000"/>
      <w:sz w:val="28"/>
      <w:szCs w:val="28"/>
    </w:rPr>
  </w:style>
  <w:style w:type="paragraph" w:customStyle="1" w:styleId="CopyrightStyle">
    <w:name w:val="Copyright Style"/>
    <w:basedOn w:val="Normal"/>
    <w:link w:val="CopyrightStyleChar"/>
    <w:uiPriority w:val="4"/>
    <w:semiHidden/>
    <w:qFormat/>
    <w:rsid w:val="00F04E46"/>
    <w:pPr>
      <w:keepLines/>
      <w:suppressAutoHyphens/>
      <w:spacing w:after="60" w:line="240" w:lineRule="exact"/>
      <w:jc w:val="right"/>
    </w:pPr>
    <w:rPr>
      <w:rFonts w:ascii="Calibri" w:hAnsi="Calibri"/>
      <w:b/>
      <w:color w:val="595959"/>
      <w:sz w:val="20"/>
      <w:szCs w:val="28"/>
    </w:rPr>
  </w:style>
  <w:style w:type="paragraph" w:customStyle="1" w:styleId="NOTICEtitle">
    <w:name w:val="NOTICE title"/>
    <w:link w:val="NOTICEtitleChar"/>
    <w:uiPriority w:val="2"/>
    <w:semiHidden/>
    <w:qFormat/>
    <w:rsid w:val="00F04E46"/>
    <w:pPr>
      <w:spacing w:after="120" w:line="250" w:lineRule="exact"/>
      <w:jc w:val="right"/>
    </w:pPr>
    <w:rPr>
      <w:rFonts w:ascii="Calibri" w:hAnsi="Calibri"/>
      <w:b/>
      <w:color w:val="595959"/>
      <w:sz w:val="28"/>
      <w:szCs w:val="28"/>
    </w:rPr>
  </w:style>
  <w:style w:type="character" w:customStyle="1" w:styleId="CopyrightStyleChar">
    <w:name w:val="Copyright Style Char"/>
    <w:basedOn w:val="DefaultParagraphFont"/>
    <w:link w:val="CopyrightStyle"/>
    <w:uiPriority w:val="4"/>
    <w:semiHidden/>
    <w:rsid w:val="00A0795E"/>
    <w:rPr>
      <w:rFonts w:ascii="Calibri" w:hAnsi="Calibri"/>
      <w:b/>
      <w:color w:val="595959"/>
      <w:sz w:val="20"/>
      <w:szCs w:val="28"/>
    </w:rPr>
  </w:style>
  <w:style w:type="paragraph" w:customStyle="1" w:styleId="NOTICEtext">
    <w:name w:val="NOTICE text"/>
    <w:basedOn w:val="Normal"/>
    <w:link w:val="NOTICEtextChar"/>
    <w:uiPriority w:val="3"/>
    <w:semiHidden/>
    <w:qFormat/>
    <w:rsid w:val="00F04E46"/>
    <w:pPr>
      <w:keepLines/>
      <w:suppressAutoHyphens/>
      <w:spacing w:after="0" w:line="360" w:lineRule="exact"/>
      <w:jc w:val="right"/>
    </w:pPr>
    <w:rPr>
      <w:color w:val="595959"/>
      <w:szCs w:val="23"/>
    </w:rPr>
  </w:style>
  <w:style w:type="character" w:customStyle="1" w:styleId="NOTICEtitleChar">
    <w:name w:val="NOTICE title Char"/>
    <w:basedOn w:val="SubtitleChar"/>
    <w:link w:val="NOTICEtitle"/>
    <w:uiPriority w:val="2"/>
    <w:semiHidden/>
    <w:rsid w:val="00DD2EF3"/>
    <w:rPr>
      <w:rFonts w:ascii="Calibri" w:hAnsi="Calibri"/>
      <w:b/>
      <w:color w:val="595959"/>
      <w:sz w:val="28"/>
      <w:szCs w:val="28"/>
      <w:lang w:val="en-US" w:eastAsia="en-US" w:bidi="ar-SA"/>
    </w:rPr>
  </w:style>
  <w:style w:type="character" w:customStyle="1" w:styleId="NOTICEtextChar">
    <w:name w:val="NOTICE text Char"/>
    <w:basedOn w:val="DefaultParagraphFont"/>
    <w:link w:val="NOTICEtext"/>
    <w:uiPriority w:val="3"/>
    <w:semiHidden/>
    <w:rsid w:val="00A0795E"/>
    <w:rPr>
      <w:color w:val="595959"/>
      <w:szCs w:val="23"/>
    </w:rPr>
  </w:style>
  <w:style w:type="paragraph" w:customStyle="1" w:styleId="RecycleNotice">
    <w:name w:val="Recycle Notice"/>
    <w:basedOn w:val="Normal"/>
    <w:link w:val="RecycleNoticeChar"/>
    <w:uiPriority w:val="4"/>
    <w:semiHidden/>
    <w:qFormat/>
    <w:rsid w:val="00F04E46"/>
    <w:pPr>
      <w:keepLines/>
      <w:suppressAutoHyphens/>
      <w:spacing w:after="0" w:line="230" w:lineRule="exact"/>
      <w:jc w:val="right"/>
    </w:pPr>
    <w:rPr>
      <w:i/>
      <w:color w:val="000000"/>
      <w:sz w:val="18"/>
    </w:rPr>
  </w:style>
  <w:style w:type="character" w:customStyle="1" w:styleId="RecycleNoticeChar">
    <w:name w:val="Recycle Notice Char"/>
    <w:basedOn w:val="DefaultParagraphFont"/>
    <w:link w:val="RecycleNotice"/>
    <w:uiPriority w:val="4"/>
    <w:semiHidden/>
    <w:rsid w:val="00A0795E"/>
    <w:rPr>
      <w:i/>
      <w:color w:val="000000"/>
      <w:sz w:val="18"/>
    </w:rPr>
  </w:style>
  <w:style w:type="paragraph" w:styleId="List">
    <w:name w:val="List"/>
    <w:basedOn w:val="Normal"/>
    <w:uiPriority w:val="3"/>
    <w:rsid w:val="008E7B25"/>
    <w:pPr>
      <w:numPr>
        <w:numId w:val="3"/>
      </w:numPr>
    </w:pPr>
  </w:style>
  <w:style w:type="paragraph" w:styleId="ListNumber">
    <w:name w:val="List Number"/>
    <w:basedOn w:val="Normal"/>
    <w:uiPriority w:val="99"/>
    <w:semiHidden/>
    <w:rsid w:val="00027F3B"/>
    <w:pPr>
      <w:numPr>
        <w:numId w:val="5"/>
      </w:numPr>
      <w:contextualSpacing/>
    </w:pPr>
  </w:style>
  <w:style w:type="paragraph" w:styleId="ListParagraph">
    <w:name w:val="List Paragraph"/>
    <w:basedOn w:val="Normal"/>
    <w:uiPriority w:val="34"/>
    <w:semiHidden/>
    <w:qFormat/>
    <w:rsid w:val="00027F3B"/>
    <w:pPr>
      <w:ind w:left="720"/>
      <w:contextualSpacing/>
    </w:pPr>
  </w:style>
  <w:style w:type="paragraph" w:styleId="ListNumber2">
    <w:name w:val="List Number 2"/>
    <w:basedOn w:val="Normal"/>
    <w:uiPriority w:val="99"/>
    <w:semiHidden/>
    <w:rsid w:val="00027F3B"/>
    <w:pPr>
      <w:ind w:left="576" w:hanging="288"/>
      <w:contextualSpacing/>
    </w:pPr>
  </w:style>
  <w:style w:type="paragraph" w:styleId="ListNumber3">
    <w:name w:val="List Number 3"/>
    <w:basedOn w:val="Normal"/>
    <w:uiPriority w:val="99"/>
    <w:semiHidden/>
    <w:rsid w:val="00027F3B"/>
    <w:pPr>
      <w:ind w:left="864" w:hanging="288"/>
      <w:contextualSpacing/>
    </w:pPr>
  </w:style>
  <w:style w:type="paragraph" w:styleId="ListNumber4">
    <w:name w:val="List Number 4"/>
    <w:basedOn w:val="Normal"/>
    <w:uiPriority w:val="99"/>
    <w:semiHidden/>
    <w:rsid w:val="00027F3B"/>
    <w:pPr>
      <w:ind w:left="1152" w:hanging="288"/>
      <w:contextualSpacing/>
    </w:pPr>
  </w:style>
  <w:style w:type="paragraph" w:styleId="ListNumber5">
    <w:name w:val="List Number 5"/>
    <w:basedOn w:val="Normal"/>
    <w:uiPriority w:val="99"/>
    <w:semiHidden/>
    <w:rsid w:val="00027F3B"/>
    <w:pPr>
      <w:ind w:left="1440" w:hanging="288"/>
      <w:contextualSpacing/>
    </w:pPr>
  </w:style>
  <w:style w:type="paragraph" w:customStyle="1" w:styleId="PageNumbers">
    <w:name w:val="Page Numbers"/>
    <w:basedOn w:val="Footer"/>
    <w:link w:val="PageNumbersChar"/>
    <w:uiPriority w:val="5"/>
    <w:qFormat/>
    <w:rsid w:val="002D17B9"/>
    <w:rPr>
      <w:color w:val="000000"/>
    </w:rPr>
  </w:style>
  <w:style w:type="character" w:customStyle="1" w:styleId="PageNumbersChar">
    <w:name w:val="Page Numbers Char"/>
    <w:basedOn w:val="FooterChar"/>
    <w:link w:val="PageNumbers"/>
    <w:uiPriority w:val="5"/>
    <w:rsid w:val="002D17B9"/>
    <w:rPr>
      <w:rFonts w:ascii="Calibri" w:hAnsi="Calibri"/>
      <w:b/>
      <w:color w:val="000000"/>
      <w:sz w:val="15"/>
      <w:szCs w:val="16"/>
    </w:rPr>
  </w:style>
  <w:style w:type="paragraph" w:customStyle="1" w:styleId="FooterCode">
    <w:name w:val="Footer Code"/>
    <w:link w:val="FooterCodeChar"/>
    <w:uiPriority w:val="7"/>
    <w:semiHidden/>
    <w:qFormat/>
    <w:rsid w:val="002D0D56"/>
    <w:pPr>
      <w:tabs>
        <w:tab w:val="left" w:pos="360"/>
      </w:tabs>
      <w:spacing w:after="160" w:line="250" w:lineRule="exact"/>
    </w:pPr>
    <w:rPr>
      <w:rFonts w:ascii="Calibri" w:hAnsi="Calibri"/>
      <w:color w:val="595959"/>
      <w:sz w:val="15"/>
      <w:szCs w:val="16"/>
    </w:rPr>
  </w:style>
  <w:style w:type="character" w:customStyle="1" w:styleId="FooterCodeChar">
    <w:name w:val="Footer Code Char"/>
    <w:basedOn w:val="DefaultParagraphFont"/>
    <w:link w:val="FooterCode"/>
    <w:uiPriority w:val="7"/>
    <w:semiHidden/>
    <w:rsid w:val="00A0795E"/>
    <w:rPr>
      <w:rFonts w:ascii="Calibri" w:hAnsi="Calibri"/>
      <w:color w:val="595959"/>
      <w:sz w:val="15"/>
      <w:szCs w:val="16"/>
      <w:lang w:val="en-US" w:eastAsia="en-US" w:bidi="ar-SA"/>
    </w:rPr>
  </w:style>
  <w:style w:type="paragraph" w:styleId="FootnoteText">
    <w:name w:val="footnote text"/>
    <w:basedOn w:val="Normal"/>
    <w:link w:val="FootnoteTextChar"/>
    <w:uiPriority w:val="99"/>
    <w:semiHidden/>
    <w:rsid w:val="00441B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B2E"/>
    <w:rPr>
      <w:sz w:val="20"/>
      <w:szCs w:val="20"/>
    </w:rPr>
  </w:style>
  <w:style w:type="character" w:styleId="FootnoteReference">
    <w:name w:val="footnote reference"/>
    <w:basedOn w:val="DefaultParagraphFont"/>
    <w:uiPriority w:val="99"/>
    <w:semiHidden/>
    <w:rsid w:val="00441B2E"/>
    <w:rPr>
      <w:vertAlign w:val="superscript"/>
    </w:rPr>
  </w:style>
  <w:style w:type="paragraph" w:customStyle="1" w:styleId="Default">
    <w:name w:val="Default"/>
    <w:rsid w:val="008E095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2" w:qFormat="1"/>
    <w:lsdException w:name="heading 2" w:semiHidden="0" w:uiPriority="2" w:qFormat="1"/>
    <w:lsdException w:name="heading 3" w:semiHidden="0" w:uiPriority="2" w:qFormat="1"/>
    <w:lsdException w:name="heading 4" w:uiPriority="2" w:unhideWhenUsed="1" w:qFormat="1"/>
    <w:lsdException w:name="heading 5" w:uiPriority="2" w:unhideWhenUsed="1" w:qFormat="1"/>
    <w:lsdException w:name="heading 6" w:uiPriority="2" w:unhideWhenUsed="1" w:qFormat="1"/>
    <w:lsdException w:name="heading 7" w:uiPriority="2" w:unhideWhenUsed="1" w:qFormat="1"/>
    <w:lsdException w:name="heading 8" w:uiPriority="2" w:unhideWhenUsed="1" w:qFormat="1"/>
    <w:lsdException w:name="heading 9" w:uiPriority="2"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lsdException w:name="toc 5" w:uiPriority="39" w:unhideWhenUsed="1"/>
    <w:lsdException w:name="toc 6" w:uiPriority="13" w:unhideWhenUsed="1"/>
    <w:lsdException w:name="toc 7" w:uiPriority="13" w:unhideWhenUsed="1"/>
    <w:lsdException w:name="toc 8" w:uiPriority="13" w:unhideWhenUsed="1"/>
    <w:lsdException w:name="toc 9" w:uiPriority="13" w:unhideWhenUsed="1"/>
    <w:lsdException w:name="annotation text" w:unhideWhenUsed="1"/>
    <w:lsdException w:name="header" w:unhideWhenUsed="1"/>
    <w:lsdException w:name="footer" w:unhideWhenUsed="1"/>
    <w:lsdException w:name="caption" w:uiPriority="5" w:unhideWhenUsed="1" w:qFormat="1"/>
    <w:lsdException w:name="table of figures" w:unhideWhenUsed="1"/>
    <w:lsdException w:name="page number" w:uiPriority="5"/>
    <w:lsdException w:name="table of authorities" w:unhideWhenUsed="1"/>
    <w:lsdException w:name="macro" w:unhideWhenUsed="1"/>
    <w:lsdException w:name="toa heading" w:unhideWhenUsed="1"/>
    <w:lsdException w:name="List Bullet" w:unhideWhenUsed="1"/>
    <w:lsdException w:name="List Bullet 2" w:unhideWhenUsed="1"/>
    <w:lsdException w:name="List Bullet 3" w:unhideWhenUsed="1"/>
    <w:lsdException w:name="List Bullet 4" w:unhideWhenUsed="1"/>
    <w:lsdException w:name="List Bullet 5" w:unhideWhenUsed="1"/>
    <w:lsdException w:name="Title" w:semiHidden="0" w:uiPriority="0" w:qFormat="1"/>
    <w:lsdException w:name="Default Paragraph Font" w:uiPriority="1" w:unhideWhenUsed="1"/>
    <w:lsdException w:name="Body Text" w:uiPriority="54"/>
    <w:lsdException w:name="Body Text Indent" w:uiPriority="54"/>
    <w:lsdException w:name="Message Header" w:unhideWhenUsed="1"/>
    <w:lsdException w:name="Subtitle" w:uiPriority="1" w:qFormat="1"/>
    <w:lsdException w:name="Body Text 2" w:uiPriority="54"/>
    <w:lsdException w:name="Block Text" w:unhideWhenUsed="1"/>
    <w:lsdException w:name="Strong" w:semiHidden="0" w:uiPriority="6" w:qFormat="1"/>
    <w:lsdException w:name="Emphasis" w:semiHidden="0" w:uiPriority="20" w:qFormat="1"/>
    <w:lsdException w:name="HTML Top of Form" w:unhideWhenUsed="1"/>
    <w:lsdException w:name="HTML Bottom of Form" w:unhideWhenUsed="1"/>
    <w:lsdException w:name="Normal (Web)"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17" w:qFormat="1"/>
    <w:lsdException w:name="Intense Quote" w:semiHidden="0" w:uiPriority="18"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6" w:qFormat="1"/>
    <w:lsdException w:name="Intense Emphasis" w:semiHidden="0" w:uiPriority="6" w:qFormat="1"/>
    <w:lsdException w:name="Subtle Reference" w:semiHidden="0" w:uiPriority="8" w:qFormat="1"/>
    <w:lsdException w:name="Intense Reference" w:semiHidden="0" w:uiPriority="9" w:qFormat="1"/>
    <w:lsdException w:name="Book Title" w:uiPriority="33" w:qFormat="1"/>
    <w:lsdException w:name="Bibliography" w:uiPriority="37"/>
    <w:lsdException w:name="TOC Heading" w:uiPriority="39" w:unhideWhenUsed="1" w:qFormat="1"/>
  </w:latentStyles>
  <w:style w:type="paragraph" w:default="1" w:styleId="Normal">
    <w:name w:val="Normal"/>
    <w:qFormat/>
    <w:rsid w:val="0093514E"/>
    <w:pPr>
      <w:spacing w:after="160" w:line="250" w:lineRule="exact"/>
    </w:pPr>
    <w:rPr>
      <w:sz w:val="21"/>
      <w:szCs w:val="21"/>
    </w:rPr>
  </w:style>
  <w:style w:type="paragraph" w:styleId="Heading1">
    <w:name w:val="heading 1"/>
    <w:aliases w:val="(Chapter)"/>
    <w:basedOn w:val="Normal"/>
    <w:next w:val="Normal"/>
    <w:uiPriority w:val="2"/>
    <w:qFormat/>
    <w:rsid w:val="00A96992"/>
    <w:pPr>
      <w:keepNext/>
      <w:pBdr>
        <w:bottom w:val="single" w:sz="4" w:space="1" w:color="84AA33"/>
      </w:pBdr>
      <w:outlineLvl w:val="0"/>
    </w:pPr>
    <w:rPr>
      <w:rFonts w:ascii="Calibri" w:hAnsi="Calibri"/>
      <w:b/>
      <w:caps/>
      <w:color w:val="0070C0"/>
      <w:spacing w:val="5"/>
      <w:kern w:val="28"/>
      <w:sz w:val="23"/>
      <w:szCs w:val="24"/>
    </w:rPr>
  </w:style>
  <w:style w:type="paragraph" w:styleId="Heading2">
    <w:name w:val="heading 2"/>
    <w:aliases w:val="(Section)"/>
    <w:basedOn w:val="Normal"/>
    <w:next w:val="Normal"/>
    <w:uiPriority w:val="2"/>
    <w:qFormat/>
    <w:rsid w:val="00A96992"/>
    <w:pPr>
      <w:keepNext/>
      <w:spacing w:after="120"/>
      <w:outlineLvl w:val="1"/>
    </w:pPr>
    <w:rPr>
      <w:rFonts w:ascii="Calibri" w:hAnsi="Calibri"/>
      <w:b/>
      <w:caps/>
      <w:sz w:val="23"/>
      <w:szCs w:val="24"/>
    </w:rPr>
  </w:style>
  <w:style w:type="paragraph" w:styleId="Heading3">
    <w:name w:val="heading 3"/>
    <w:aliases w:val="(Sub Section)"/>
    <w:basedOn w:val="Normal"/>
    <w:next w:val="Normal"/>
    <w:uiPriority w:val="2"/>
    <w:qFormat/>
    <w:rsid w:val="00A96992"/>
    <w:pPr>
      <w:keepNext/>
      <w:spacing w:before="100" w:after="40"/>
      <w:outlineLvl w:val="2"/>
    </w:pPr>
    <w:rPr>
      <w:rFonts w:ascii="Calibri" w:hAnsi="Calibri"/>
      <w:b/>
      <w:sz w:val="23"/>
    </w:rPr>
  </w:style>
  <w:style w:type="paragraph" w:styleId="Heading4">
    <w:name w:val="heading 4"/>
    <w:basedOn w:val="Normal"/>
    <w:next w:val="Normal"/>
    <w:link w:val="Heading4Char"/>
    <w:uiPriority w:val="2"/>
    <w:qFormat/>
    <w:rsid w:val="00A96992"/>
    <w:pPr>
      <w:keepNext/>
      <w:spacing w:before="100" w:after="40"/>
      <w:outlineLvl w:val="3"/>
    </w:pPr>
    <w:rPr>
      <w:b/>
      <w:color w:val="000000"/>
    </w:rPr>
  </w:style>
  <w:style w:type="paragraph" w:styleId="Heading5">
    <w:name w:val="heading 5"/>
    <w:basedOn w:val="Normal"/>
    <w:next w:val="Normal"/>
    <w:link w:val="Heading5Char"/>
    <w:uiPriority w:val="2"/>
    <w:semiHidden/>
    <w:unhideWhenUsed/>
    <w:qFormat/>
    <w:rsid w:val="00A96992"/>
    <w:pPr>
      <w:keepNext/>
      <w:spacing w:before="100" w:after="40"/>
      <w:outlineLvl w:val="4"/>
    </w:pPr>
    <w:rPr>
      <w:b/>
      <w:i/>
      <w:color w:val="000000"/>
    </w:rPr>
  </w:style>
  <w:style w:type="paragraph" w:styleId="Heading6">
    <w:name w:val="heading 6"/>
    <w:basedOn w:val="Normal"/>
    <w:next w:val="Normal"/>
    <w:link w:val="Heading6Char"/>
    <w:uiPriority w:val="2"/>
    <w:semiHidden/>
    <w:unhideWhenUsed/>
    <w:qFormat/>
    <w:rsid w:val="00A96992"/>
    <w:pPr>
      <w:keepNext/>
      <w:spacing w:before="100" w:after="40"/>
      <w:outlineLvl w:val="5"/>
    </w:pPr>
    <w:rPr>
      <w:i/>
      <w:color w:val="000000"/>
    </w:rPr>
  </w:style>
  <w:style w:type="paragraph" w:styleId="Heading7">
    <w:name w:val="heading 7"/>
    <w:basedOn w:val="Normal"/>
    <w:next w:val="Normal"/>
    <w:link w:val="Heading7Char"/>
    <w:uiPriority w:val="2"/>
    <w:semiHidden/>
    <w:unhideWhenUsed/>
    <w:qFormat/>
    <w:rsid w:val="00A96992"/>
    <w:pPr>
      <w:keepNext/>
      <w:spacing w:before="100" w:after="40"/>
      <w:outlineLvl w:val="6"/>
    </w:pPr>
    <w:rPr>
      <w:i/>
      <w:color w:val="5F5F5F"/>
    </w:rPr>
  </w:style>
  <w:style w:type="paragraph" w:styleId="Heading8">
    <w:name w:val="heading 8"/>
    <w:basedOn w:val="Normal"/>
    <w:next w:val="Normal"/>
    <w:link w:val="Heading8Char"/>
    <w:uiPriority w:val="2"/>
    <w:semiHidden/>
    <w:unhideWhenUsed/>
    <w:qFormat/>
    <w:rsid w:val="00A96992"/>
    <w:pPr>
      <w:keepNext/>
      <w:spacing w:before="100" w:after="40"/>
      <w:outlineLvl w:val="7"/>
    </w:pPr>
    <w:rPr>
      <w:rFonts w:ascii="Calibri" w:hAnsi="Calibri"/>
      <w:b/>
      <w:color w:val="404040"/>
    </w:rPr>
  </w:style>
  <w:style w:type="paragraph" w:styleId="Heading9">
    <w:name w:val="heading 9"/>
    <w:basedOn w:val="Normal"/>
    <w:next w:val="Normal"/>
    <w:link w:val="Heading9Char"/>
    <w:uiPriority w:val="2"/>
    <w:semiHidden/>
    <w:unhideWhenUsed/>
    <w:qFormat/>
    <w:rsid w:val="00A96992"/>
    <w:pPr>
      <w:keepNext/>
      <w:spacing w:before="100" w:after="40"/>
      <w:outlineLvl w:val="8"/>
    </w:pPr>
    <w:rPr>
      <w:rFonts w:ascii="Calibri" w:hAnsi="Calibri"/>
      <w:b/>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HeaderStyle"/>
    <w:link w:val="HeaderChar"/>
    <w:uiPriority w:val="99"/>
    <w:rsid w:val="00585254"/>
  </w:style>
  <w:style w:type="paragraph" w:styleId="Footer">
    <w:name w:val="footer"/>
    <w:basedOn w:val="Normal"/>
    <w:link w:val="FooterChar"/>
    <w:uiPriority w:val="5"/>
    <w:rsid w:val="002D17B9"/>
    <w:pPr>
      <w:tabs>
        <w:tab w:val="left" w:pos="360"/>
      </w:tabs>
      <w:spacing w:before="40" w:after="0"/>
    </w:pPr>
    <w:rPr>
      <w:rFonts w:ascii="Calibri" w:hAnsi="Calibri"/>
      <w:color w:val="404040"/>
      <w:sz w:val="15"/>
      <w:szCs w:val="16"/>
    </w:rPr>
  </w:style>
  <w:style w:type="paragraph" w:styleId="TOC4">
    <w:name w:val="toc 4"/>
    <w:basedOn w:val="TOC3"/>
    <w:next w:val="Normal"/>
    <w:autoRedefine/>
    <w:uiPriority w:val="39"/>
    <w:rsid w:val="00AE7028"/>
    <w:pPr>
      <w:ind w:left="540"/>
    </w:pPr>
  </w:style>
  <w:style w:type="paragraph" w:styleId="TOC1">
    <w:name w:val="toc 1"/>
    <w:basedOn w:val="Normal"/>
    <w:next w:val="Normal"/>
    <w:uiPriority w:val="39"/>
    <w:qFormat/>
    <w:rsid w:val="00AE7028"/>
    <w:pPr>
      <w:tabs>
        <w:tab w:val="right" w:leader="dot" w:pos="9720"/>
      </w:tabs>
      <w:spacing w:after="80"/>
    </w:pPr>
    <w:rPr>
      <w:b/>
      <w:noProof/>
    </w:rPr>
  </w:style>
  <w:style w:type="paragraph" w:styleId="TOC2">
    <w:name w:val="toc 2"/>
    <w:basedOn w:val="TOC1"/>
    <w:next w:val="Normal"/>
    <w:autoRedefine/>
    <w:uiPriority w:val="39"/>
    <w:qFormat/>
    <w:rsid w:val="00AE7028"/>
    <w:pPr>
      <w:ind w:left="180"/>
    </w:pPr>
    <w:rPr>
      <w:b w:val="0"/>
    </w:rPr>
  </w:style>
  <w:style w:type="paragraph" w:styleId="TOC3">
    <w:name w:val="toc 3"/>
    <w:basedOn w:val="TOC2"/>
    <w:next w:val="Normal"/>
    <w:autoRedefine/>
    <w:uiPriority w:val="39"/>
    <w:qFormat/>
    <w:rsid w:val="00AE7028"/>
    <w:pPr>
      <w:ind w:left="360"/>
    </w:pPr>
  </w:style>
  <w:style w:type="paragraph" w:styleId="TOC5">
    <w:name w:val="toc 5"/>
    <w:basedOn w:val="TOC3"/>
    <w:next w:val="Normal"/>
    <w:autoRedefine/>
    <w:uiPriority w:val="39"/>
    <w:rsid w:val="00AE7028"/>
    <w:pPr>
      <w:ind w:left="720"/>
    </w:pPr>
  </w:style>
  <w:style w:type="paragraph" w:styleId="TOC6">
    <w:name w:val="toc 6"/>
    <w:basedOn w:val="TOC3"/>
    <w:next w:val="Normal"/>
    <w:autoRedefine/>
    <w:uiPriority w:val="13"/>
    <w:rsid w:val="00AE7028"/>
    <w:pPr>
      <w:ind w:left="900"/>
    </w:pPr>
  </w:style>
  <w:style w:type="paragraph" w:styleId="TOC7">
    <w:name w:val="toc 7"/>
    <w:basedOn w:val="Normal"/>
    <w:next w:val="Normal"/>
    <w:autoRedefine/>
    <w:uiPriority w:val="13"/>
    <w:semiHidden/>
    <w:rsid w:val="002A0220"/>
    <w:pPr>
      <w:ind w:left="1320"/>
    </w:pPr>
  </w:style>
  <w:style w:type="paragraph" w:styleId="TOC8">
    <w:name w:val="toc 8"/>
    <w:basedOn w:val="Normal"/>
    <w:next w:val="Normal"/>
    <w:autoRedefine/>
    <w:uiPriority w:val="13"/>
    <w:semiHidden/>
    <w:rsid w:val="002A0220"/>
    <w:pPr>
      <w:ind w:left="1540"/>
    </w:pPr>
  </w:style>
  <w:style w:type="paragraph" w:styleId="TOC9">
    <w:name w:val="toc 9"/>
    <w:basedOn w:val="Normal"/>
    <w:next w:val="Normal"/>
    <w:autoRedefine/>
    <w:uiPriority w:val="13"/>
    <w:semiHidden/>
    <w:rsid w:val="002A0220"/>
    <w:pPr>
      <w:ind w:left="1760"/>
    </w:pPr>
  </w:style>
  <w:style w:type="paragraph" w:styleId="CommentText">
    <w:name w:val="annotation text"/>
    <w:basedOn w:val="Normal"/>
    <w:link w:val="CommentTextChar"/>
    <w:uiPriority w:val="99"/>
    <w:semiHidden/>
    <w:rsid w:val="002A0220"/>
    <w:rPr>
      <w:sz w:val="20"/>
    </w:rPr>
  </w:style>
  <w:style w:type="paragraph" w:styleId="ListBullet">
    <w:name w:val="List Bullet"/>
    <w:basedOn w:val="Normal"/>
    <w:link w:val="ListBulletChar"/>
    <w:uiPriority w:val="99"/>
    <w:semiHidden/>
    <w:rsid w:val="00A96992"/>
    <w:pPr>
      <w:keepNext/>
      <w:numPr>
        <w:numId w:val="2"/>
      </w:numPr>
      <w:suppressAutoHyphens/>
      <w:spacing w:after="120"/>
    </w:pPr>
    <w:rPr>
      <w:color w:val="000000"/>
    </w:rPr>
  </w:style>
  <w:style w:type="paragraph" w:customStyle="1" w:styleId="HeaderStyle">
    <w:name w:val="Header Style"/>
    <w:basedOn w:val="Normal"/>
    <w:link w:val="HeaderStyleChar"/>
    <w:uiPriority w:val="4"/>
    <w:qFormat/>
    <w:rsid w:val="00A0795E"/>
    <w:pPr>
      <w:suppressAutoHyphens/>
      <w:jc w:val="right"/>
    </w:pPr>
    <w:rPr>
      <w:rFonts w:ascii="Calibri" w:hAnsi="Calibri"/>
      <w:b/>
      <w:caps/>
      <w:color w:val="FFFFFF"/>
    </w:rPr>
  </w:style>
  <w:style w:type="character" w:customStyle="1" w:styleId="HeaderStyleChar">
    <w:name w:val="Header Style Char"/>
    <w:basedOn w:val="DefaultParagraphFont"/>
    <w:link w:val="HeaderStyle"/>
    <w:uiPriority w:val="4"/>
    <w:rsid w:val="00A0795E"/>
    <w:rPr>
      <w:rFonts w:ascii="Calibri" w:hAnsi="Calibri"/>
      <w:b/>
      <w:caps/>
      <w:color w:val="FFFFFF"/>
    </w:rPr>
  </w:style>
  <w:style w:type="character" w:customStyle="1" w:styleId="CommentTextChar">
    <w:name w:val="Comment Text Char"/>
    <w:basedOn w:val="DefaultParagraphFont"/>
    <w:link w:val="CommentText"/>
    <w:uiPriority w:val="99"/>
    <w:semiHidden/>
    <w:rsid w:val="007B60D7"/>
    <w:rPr>
      <w:sz w:val="20"/>
    </w:rPr>
  </w:style>
  <w:style w:type="table" w:customStyle="1" w:styleId="OBrienGereORANGE">
    <w:name w:val="O'Brien &amp; Gere ORANGE"/>
    <w:basedOn w:val="TableNormal"/>
    <w:uiPriority w:val="99"/>
    <w:qFormat/>
    <w:rsid w:val="00375834"/>
    <w:rPr>
      <w:rFonts w:ascii="Calibri" w:hAnsi="Calibri"/>
      <w:color w:val="000000"/>
    </w:rPr>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bottom w:val="single" w:sz="24" w:space="0" w:color="F88630"/>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F88630"/>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F88630"/>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BLUE">
    <w:name w:val="O'Brien &amp; Gere BLUE"/>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cantSplit/>
        <w:tblHeader/>
      </w:trPr>
      <w:tcPr>
        <w:tcBorders>
          <w:top w:val="nil"/>
          <w:left w:val="nil"/>
          <w:bottom w:val="single" w:sz="24" w:space="0" w:color="0070C0"/>
          <w:right w:val="nil"/>
          <w:insideH w:val="nil"/>
          <w:insideV w:val="nil"/>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0070C0"/>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0070C0"/>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GREEN">
    <w:name w:val="O'Brien &amp; Gere GREEN"/>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bottom w:val="single" w:sz="24" w:space="0" w:color="84AA33"/>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84AA33"/>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84AA33"/>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BROWN">
    <w:name w:val="O'Brien &amp; Gere BROWN"/>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top w:val="nil"/>
          <w:left w:val="nil"/>
          <w:bottom w:val="single" w:sz="24" w:space="0" w:color="996633"/>
          <w:right w:val="nil"/>
          <w:insideH w:val="nil"/>
          <w:insideV w:val="nil"/>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996633"/>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996633"/>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customStyle="1" w:styleId="OBrienGereGREY">
    <w:name w:val="O'Brien &amp; Gere GREY"/>
    <w:basedOn w:val="OBrienGereORANGE"/>
    <w:uiPriority w:val="99"/>
    <w:qFormat/>
    <w:rsid w:val="00375834"/>
    <w:tblPr>
      <w:tblStyleRowBandSize w:val="1"/>
      <w:tblStyleColBandSize w:val="1"/>
      <w:tblInd w:w="29" w:type="dxa"/>
      <w:tblBorders>
        <w:bottom w:val="single" w:sz="24" w:space="0" w:color="7F7F7F"/>
      </w:tblBorders>
      <w:tblCellMar>
        <w:top w:w="0" w:type="dxa"/>
        <w:left w:w="108" w:type="dxa"/>
        <w:bottom w:w="0" w:type="dxa"/>
        <w:right w:w="108" w:type="dxa"/>
      </w:tblCellMar>
    </w:tblPr>
    <w:tcPr>
      <w:tcMar>
        <w:left w:w="115" w:type="dxa"/>
        <w:right w:w="115" w:type="dxa"/>
      </w:tcMar>
      <w:vAlign w:val="center"/>
    </w:tcPr>
    <w:tblStylePr w:type="firstRow">
      <w:pPr>
        <w:spacing w:before="0" w:after="0" w:line="240" w:lineRule="auto"/>
        <w:jc w:val="center"/>
      </w:pPr>
      <w:rPr>
        <w:rFonts w:ascii="Calibri" w:hAnsi="Calibri"/>
        <w:b/>
        <w:bCs/>
        <w:color w:val="FFFFFF"/>
        <w:sz w:val="25"/>
      </w:rPr>
      <w:tblPr/>
      <w:trPr>
        <w:tblHeader/>
      </w:trPr>
      <w:tcPr>
        <w:tcBorders>
          <w:bottom w:val="single" w:sz="24" w:space="0" w:color="808080"/>
        </w:tcBorders>
        <w:shd w:val="clear" w:color="auto" w:fill="595959"/>
      </w:tcPr>
    </w:tblStylePr>
    <w:tblStylePr w:type="lastRow">
      <w:pPr>
        <w:spacing w:before="0" w:after="0" w:line="240" w:lineRule="auto"/>
        <w:jc w:val="left"/>
      </w:pPr>
      <w:rPr>
        <w:rFonts w:ascii="Calibri" w:hAnsi="Calibri"/>
        <w:color w:val="auto"/>
        <w:sz w:val="21"/>
      </w:rPr>
    </w:tblStylePr>
    <w:tblStylePr w:type="firstCol">
      <w:pPr>
        <w:wordWrap/>
        <w:ind w:leftChars="0" w:left="288"/>
      </w:pPr>
      <w:rPr>
        <w:rFonts w:ascii="Calibri" w:hAnsi="Calibri"/>
        <w:b/>
        <w:bCs/>
        <w:color w:val="000000"/>
        <w:sz w:val="21"/>
      </w:rPr>
      <w:tblPr/>
      <w:tcPr>
        <w:shd w:val="clear" w:color="auto" w:fill="F2F2F2"/>
      </w:tcPr>
    </w:tblStylePr>
    <w:tblStylePr w:type="lastCol">
      <w:rPr>
        <w:rFonts w:ascii="Calibri" w:hAnsi="Calibri"/>
        <w:b w:val="0"/>
        <w:bCs/>
        <w:color w:val="000000"/>
        <w:sz w:val="21"/>
      </w:rPr>
      <w:tblPr/>
      <w:tcPr>
        <w:shd w:val="clear" w:color="auto" w:fill="F2F2F2"/>
      </w:tcPr>
    </w:tblStylePr>
    <w:tblStylePr w:type="band1Vert">
      <w:rPr>
        <w:rFonts w:ascii="Calibri" w:hAnsi="Calibri"/>
        <w:sz w:val="21"/>
      </w:rPr>
      <w:tblPr/>
      <w:tcPr>
        <w:shd w:val="clear" w:color="auto" w:fill="FFFFFF"/>
      </w:tcPr>
    </w:tblStylePr>
    <w:tblStylePr w:type="band2Vert">
      <w:rPr>
        <w:rFonts w:ascii="Calibri" w:hAnsi="Calibri"/>
        <w:sz w:val="21"/>
      </w:rPr>
      <w:tblPr/>
      <w:tcPr>
        <w:shd w:val="clear" w:color="auto" w:fill="F2F2F2"/>
      </w:tcPr>
    </w:tblStylePr>
    <w:tblStylePr w:type="band1Horz">
      <w:rPr>
        <w:rFonts w:ascii="Calibri" w:hAnsi="Calibri"/>
        <w:sz w:val="21"/>
      </w:rPr>
      <w:tblPr/>
      <w:tcPr>
        <w:tcBorders>
          <w:bottom w:val="single" w:sz="4" w:space="0" w:color="7F7F7F"/>
        </w:tcBorders>
        <w:shd w:val="clear" w:color="auto" w:fill="FFFFFF"/>
      </w:tcPr>
    </w:tblStylePr>
    <w:tblStylePr w:type="band2Horz">
      <w:rPr>
        <w:rFonts w:ascii="Calibri" w:hAnsi="Calibri"/>
        <w:sz w:val="21"/>
      </w:rPr>
      <w:tblPr/>
      <w:tcPr>
        <w:tcBorders>
          <w:bottom w:val="single" w:sz="4" w:space="0" w:color="7F7F7F"/>
        </w:tcBorders>
        <w:shd w:val="clear" w:color="auto" w:fill="FFFFFF"/>
      </w:tcPr>
    </w:tblStylePr>
    <w:tblStylePr w:type="neCell">
      <w:rPr>
        <w:rFonts w:ascii="Calibri" w:hAnsi="Calibri"/>
        <w:sz w:val="21"/>
      </w:rPr>
      <w:tblPr/>
      <w:tcPr>
        <w:tcBorders>
          <w:top w:val="nil"/>
          <w:left w:val="nil"/>
          <w:bottom w:val="single" w:sz="24" w:space="0" w:color="808080"/>
          <w:right w:val="nil"/>
          <w:insideH w:val="nil"/>
          <w:insideV w:val="nil"/>
          <w:tl2br w:val="nil"/>
          <w:tr2bl w:val="nil"/>
        </w:tcBorders>
      </w:tcPr>
    </w:tblStylePr>
    <w:tblStylePr w:type="nwCell">
      <w:rPr>
        <w:rFonts w:ascii="Calibri" w:hAnsi="Calibri"/>
        <w:color w:val="FFFFFF"/>
        <w:sz w:val="21"/>
      </w:rPr>
      <w:tblPr/>
      <w:tcPr>
        <w:tcBorders>
          <w:top w:val="nil"/>
          <w:left w:val="nil"/>
          <w:bottom w:val="single" w:sz="24" w:space="0" w:color="808080"/>
          <w:right w:val="nil"/>
          <w:insideH w:val="nil"/>
          <w:insideV w:val="nil"/>
          <w:tl2br w:val="nil"/>
          <w:tr2bl w:val="nil"/>
        </w:tcBorders>
      </w:tcPr>
    </w:tblStylePr>
    <w:tblStylePr w:type="seCell">
      <w:rPr>
        <w:rFonts w:ascii="Calibri" w:hAnsi="Calibri"/>
        <w:sz w:val="21"/>
      </w:rPr>
      <w:tblPr/>
      <w:tcPr>
        <w:tcBorders>
          <w:bottom w:val="single" w:sz="24" w:space="0" w:color="7F7F7F"/>
        </w:tcBorders>
      </w:tcPr>
    </w:tblStylePr>
    <w:tblStylePr w:type="swCell">
      <w:rPr>
        <w:rFonts w:ascii="Calibri" w:hAnsi="Calibri"/>
        <w:sz w:val="21"/>
      </w:rPr>
      <w:tblPr/>
      <w:tcPr>
        <w:tcBorders>
          <w:top w:val="nil"/>
          <w:left w:val="nil"/>
          <w:bottom w:val="single" w:sz="24" w:space="0" w:color="7F7F7F"/>
          <w:right w:val="nil"/>
          <w:insideH w:val="nil"/>
          <w:insideV w:val="nil"/>
          <w:tl2br w:val="nil"/>
          <w:tr2bl w:val="nil"/>
        </w:tcBorders>
      </w:tcPr>
    </w:tblStylePr>
  </w:style>
  <w:style w:type="table" w:styleId="TableGrid">
    <w:name w:val="Table Grid"/>
    <w:basedOn w:val="TableNormal"/>
    <w:uiPriority w:val="59"/>
    <w:rsid w:val="007E301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next w:val="Normal"/>
    <w:link w:val="TitleChar"/>
    <w:uiPriority w:val="1"/>
    <w:qFormat/>
    <w:rsid w:val="00A96992"/>
    <w:pPr>
      <w:pBdr>
        <w:bottom w:val="single" w:sz="8" w:space="4" w:color="76B23F"/>
      </w:pBdr>
      <w:spacing w:after="300" w:line="240" w:lineRule="auto"/>
      <w:contextualSpacing/>
    </w:pPr>
    <w:rPr>
      <w:rFonts w:ascii="Calibri" w:hAnsi="Calibri"/>
      <w:b/>
      <w:caps/>
      <w:color w:val="00467F"/>
      <w:spacing w:val="5"/>
      <w:kern w:val="28"/>
      <w:sz w:val="24"/>
      <w:szCs w:val="52"/>
    </w:rPr>
  </w:style>
  <w:style w:type="character" w:customStyle="1" w:styleId="TitleChar">
    <w:name w:val="Title Char"/>
    <w:basedOn w:val="DefaultParagraphFont"/>
    <w:link w:val="Title"/>
    <w:uiPriority w:val="1"/>
    <w:rsid w:val="00DD2EF3"/>
    <w:rPr>
      <w:rFonts w:ascii="Calibri" w:eastAsia="Times New Roman" w:hAnsi="Calibri" w:cs="Times New Roman"/>
      <w:b/>
      <w:caps/>
      <w:color w:val="00467F"/>
      <w:spacing w:val="5"/>
      <w:kern w:val="28"/>
      <w:sz w:val="24"/>
      <w:szCs w:val="52"/>
    </w:rPr>
  </w:style>
  <w:style w:type="numbering" w:customStyle="1" w:styleId="OBrienGere">
    <w:name w:val="O'Brien &amp; Gere"/>
    <w:uiPriority w:val="99"/>
    <w:rsid w:val="007E301E"/>
    <w:pPr>
      <w:numPr>
        <w:numId w:val="1"/>
      </w:numPr>
    </w:pPr>
  </w:style>
  <w:style w:type="character" w:customStyle="1" w:styleId="Heading4Char">
    <w:name w:val="Heading 4 Char"/>
    <w:basedOn w:val="DefaultParagraphFont"/>
    <w:link w:val="Heading4"/>
    <w:uiPriority w:val="2"/>
    <w:rsid w:val="007B60D7"/>
    <w:rPr>
      <w:b/>
      <w:color w:val="000000"/>
    </w:rPr>
  </w:style>
  <w:style w:type="character" w:customStyle="1" w:styleId="Heading5Char">
    <w:name w:val="Heading 5 Char"/>
    <w:basedOn w:val="DefaultParagraphFont"/>
    <w:link w:val="Heading5"/>
    <w:uiPriority w:val="2"/>
    <w:semiHidden/>
    <w:rsid w:val="00A50B5A"/>
    <w:rPr>
      <w:b/>
      <w:i/>
      <w:color w:val="000000"/>
    </w:rPr>
  </w:style>
  <w:style w:type="character" w:customStyle="1" w:styleId="Heading6Char">
    <w:name w:val="Heading 6 Char"/>
    <w:basedOn w:val="DefaultParagraphFont"/>
    <w:link w:val="Heading6"/>
    <w:uiPriority w:val="2"/>
    <w:semiHidden/>
    <w:rsid w:val="00A50B5A"/>
    <w:rPr>
      <w:i/>
      <w:color w:val="000000"/>
    </w:rPr>
  </w:style>
  <w:style w:type="character" w:customStyle="1" w:styleId="Heading7Char">
    <w:name w:val="Heading 7 Char"/>
    <w:basedOn w:val="DefaultParagraphFont"/>
    <w:link w:val="Heading7"/>
    <w:uiPriority w:val="2"/>
    <w:semiHidden/>
    <w:rsid w:val="00A50B5A"/>
    <w:rPr>
      <w:i/>
      <w:color w:val="5F5F5F"/>
    </w:rPr>
  </w:style>
  <w:style w:type="character" w:customStyle="1" w:styleId="Heading8Char">
    <w:name w:val="Heading 8 Char"/>
    <w:basedOn w:val="DefaultParagraphFont"/>
    <w:link w:val="Heading8"/>
    <w:uiPriority w:val="2"/>
    <w:semiHidden/>
    <w:rsid w:val="00A50B5A"/>
    <w:rPr>
      <w:rFonts w:ascii="Calibri" w:hAnsi="Calibri"/>
      <w:b/>
      <w:color w:val="404040"/>
    </w:rPr>
  </w:style>
  <w:style w:type="character" w:customStyle="1" w:styleId="Heading9Char">
    <w:name w:val="Heading 9 Char"/>
    <w:basedOn w:val="DefaultParagraphFont"/>
    <w:link w:val="Heading9"/>
    <w:uiPriority w:val="2"/>
    <w:semiHidden/>
    <w:rsid w:val="00A50B5A"/>
    <w:rPr>
      <w:rFonts w:ascii="Calibri" w:hAnsi="Calibri"/>
      <w:b/>
      <w:i/>
      <w:iCs/>
      <w:color w:val="404040"/>
      <w:szCs w:val="20"/>
    </w:rPr>
  </w:style>
  <w:style w:type="character" w:styleId="Strong">
    <w:name w:val="Strong"/>
    <w:uiPriority w:val="6"/>
    <w:qFormat/>
    <w:rsid w:val="00A96992"/>
    <w:rPr>
      <w:b/>
      <w:bCs/>
      <w:color w:val="0070C0"/>
    </w:rPr>
  </w:style>
  <w:style w:type="character" w:styleId="SubtleEmphasis">
    <w:name w:val="Subtle Emphasis"/>
    <w:uiPriority w:val="5"/>
    <w:qFormat/>
    <w:rsid w:val="00A96992"/>
    <w:rPr>
      <w:i/>
      <w:iCs/>
      <w:color w:val="8F4005"/>
    </w:rPr>
  </w:style>
  <w:style w:type="character" w:styleId="IntenseEmphasis">
    <w:name w:val="Intense Emphasis"/>
    <w:uiPriority w:val="6"/>
    <w:qFormat/>
    <w:rsid w:val="00A96992"/>
    <w:rPr>
      <w:b/>
      <w:bCs/>
      <w:i/>
      <w:iCs/>
      <w:color w:val="0070C0"/>
    </w:rPr>
  </w:style>
  <w:style w:type="character" w:styleId="SubtleReference">
    <w:name w:val="Subtle Reference"/>
    <w:uiPriority w:val="7"/>
    <w:qFormat/>
    <w:rsid w:val="00A96992"/>
    <w:rPr>
      <w:smallCaps/>
      <w:color w:val="8F4005"/>
    </w:rPr>
  </w:style>
  <w:style w:type="character" w:styleId="IntenseReference">
    <w:name w:val="Intense Reference"/>
    <w:uiPriority w:val="7"/>
    <w:qFormat/>
    <w:rsid w:val="00A96992"/>
    <w:rPr>
      <w:bCs/>
      <w:smallCaps/>
      <w:color w:val="0070C0"/>
      <w:spacing w:val="5"/>
    </w:rPr>
  </w:style>
  <w:style w:type="paragraph" w:styleId="Quote">
    <w:name w:val="Quote"/>
    <w:basedOn w:val="Normal"/>
    <w:next w:val="Normal"/>
    <w:link w:val="QuoteChar"/>
    <w:uiPriority w:val="17"/>
    <w:qFormat/>
    <w:rsid w:val="00A96992"/>
    <w:pPr>
      <w:keepNext/>
      <w:pBdr>
        <w:bottom w:val="single" w:sz="4" w:space="4" w:color="404040"/>
      </w:pBdr>
      <w:suppressAutoHyphens/>
      <w:spacing w:before="200" w:after="280"/>
      <w:ind w:left="576" w:right="576"/>
    </w:pPr>
    <w:rPr>
      <w:b/>
      <w:bCs/>
      <w:i/>
      <w:iCs/>
      <w:color w:val="000000"/>
    </w:rPr>
  </w:style>
  <w:style w:type="character" w:customStyle="1" w:styleId="QuoteChar">
    <w:name w:val="Quote Char"/>
    <w:basedOn w:val="DefaultParagraphFont"/>
    <w:link w:val="Quote"/>
    <w:uiPriority w:val="17"/>
    <w:rsid w:val="007B60D7"/>
    <w:rPr>
      <w:b/>
      <w:bCs/>
      <w:i/>
      <w:iCs/>
      <w:color w:val="000000"/>
    </w:rPr>
  </w:style>
  <w:style w:type="paragraph" w:styleId="IntenseQuote">
    <w:name w:val="Intense Quote"/>
    <w:basedOn w:val="Normal"/>
    <w:next w:val="Normal"/>
    <w:link w:val="IntenseQuoteChar"/>
    <w:uiPriority w:val="18"/>
    <w:qFormat/>
    <w:rsid w:val="00A96992"/>
    <w:pPr>
      <w:keepNext/>
      <w:pBdr>
        <w:bottom w:val="single" w:sz="4" w:space="4" w:color="84AA33"/>
      </w:pBdr>
      <w:suppressAutoHyphens/>
      <w:spacing w:before="200" w:after="280"/>
      <w:ind w:left="576" w:right="576"/>
    </w:pPr>
    <w:rPr>
      <w:b/>
      <w:bCs/>
      <w:i/>
      <w:iCs/>
      <w:color w:val="627F26"/>
    </w:rPr>
  </w:style>
  <w:style w:type="character" w:customStyle="1" w:styleId="IntenseQuoteChar">
    <w:name w:val="Intense Quote Char"/>
    <w:basedOn w:val="DefaultParagraphFont"/>
    <w:link w:val="IntenseQuote"/>
    <w:uiPriority w:val="18"/>
    <w:rsid w:val="007B60D7"/>
    <w:rPr>
      <w:b/>
      <w:bCs/>
      <w:i/>
      <w:iCs/>
      <w:color w:val="627F26"/>
    </w:rPr>
  </w:style>
  <w:style w:type="paragraph" w:customStyle="1" w:styleId="Sidebarstyle">
    <w:name w:val="Sidebar style"/>
    <w:basedOn w:val="Normal"/>
    <w:link w:val="SidebarstyleChar"/>
    <w:uiPriority w:val="6"/>
    <w:qFormat/>
    <w:rsid w:val="00A96992"/>
    <w:pPr>
      <w:keepNext/>
      <w:suppressAutoHyphens/>
      <w:spacing w:line="400" w:lineRule="exact"/>
      <w:jc w:val="right"/>
    </w:pPr>
    <w:rPr>
      <w:b/>
      <w:i/>
      <w:color w:val="0070C0"/>
      <w:sz w:val="32"/>
      <w:szCs w:val="32"/>
    </w:rPr>
  </w:style>
  <w:style w:type="paragraph" w:styleId="BlockText">
    <w:name w:val="Block Text"/>
    <w:basedOn w:val="Normal"/>
    <w:uiPriority w:val="99"/>
    <w:rsid w:val="00A96992"/>
    <w:pPr>
      <w:keepNext/>
      <w:framePr w:hSpace="144" w:vSpace="144" w:wrap="around" w:vAnchor="text" w:hAnchor="text" w:y="1"/>
      <w:pBdr>
        <w:top w:val="single" w:sz="2" w:space="10" w:color="BFBFBF"/>
        <w:left w:val="single" w:sz="2" w:space="10" w:color="BFBFBF"/>
        <w:bottom w:val="single" w:sz="2" w:space="6" w:color="BFBFBF"/>
        <w:right w:val="single" w:sz="2" w:space="10" w:color="BFBFBF"/>
      </w:pBdr>
      <w:shd w:val="clear" w:color="auto" w:fill="F2F2F2"/>
      <w:suppressAutoHyphens/>
      <w:spacing w:line="260" w:lineRule="exact"/>
      <w:ind w:left="432" w:right="432"/>
      <w:jc w:val="right"/>
    </w:pPr>
    <w:rPr>
      <w:b/>
      <w:i/>
      <w:iCs/>
      <w:color w:val="0070C0"/>
    </w:rPr>
  </w:style>
  <w:style w:type="character" w:customStyle="1" w:styleId="SidebarstyleChar">
    <w:name w:val="Sidebar style Char"/>
    <w:basedOn w:val="DefaultParagraphFont"/>
    <w:link w:val="Sidebarstyle"/>
    <w:uiPriority w:val="6"/>
    <w:rsid w:val="000F72E9"/>
    <w:rPr>
      <w:b/>
      <w:i/>
      <w:color w:val="0070C0"/>
      <w:sz w:val="32"/>
      <w:szCs w:val="32"/>
    </w:rPr>
  </w:style>
  <w:style w:type="paragraph" w:styleId="MessageHeader">
    <w:name w:val="Message Header"/>
    <w:basedOn w:val="Normal"/>
    <w:link w:val="MessageHeaderChar"/>
    <w:uiPriority w:val="99"/>
    <w:semiHidden/>
    <w:rsid w:val="00A96992"/>
    <w:pPr>
      <w:keepNext/>
      <w:pBdr>
        <w:top w:val="single" w:sz="6" w:space="1" w:color="D9D9D9"/>
        <w:left w:val="single" w:sz="6" w:space="1" w:color="D9D9D9"/>
        <w:bottom w:val="single" w:sz="6" w:space="1" w:color="D9D9D9"/>
        <w:right w:val="single" w:sz="6" w:space="1" w:color="D9D9D9"/>
      </w:pBdr>
      <w:shd w:val="pct10" w:color="auto" w:fill="auto"/>
      <w:suppressAutoHyphens/>
      <w:spacing w:after="0"/>
      <w:ind w:left="288" w:hanging="288"/>
    </w:pPr>
    <w:rPr>
      <w:rFonts w:ascii="Calibri" w:hAnsi="Calibri"/>
      <w:color w:val="000000"/>
      <w:szCs w:val="24"/>
    </w:rPr>
  </w:style>
  <w:style w:type="character" w:customStyle="1" w:styleId="MessageHeaderChar">
    <w:name w:val="Message Header Char"/>
    <w:basedOn w:val="DefaultParagraphFont"/>
    <w:link w:val="MessageHeader"/>
    <w:uiPriority w:val="99"/>
    <w:semiHidden/>
    <w:rsid w:val="000F72E9"/>
    <w:rPr>
      <w:rFonts w:ascii="Calibri" w:hAnsi="Calibri"/>
      <w:color w:val="000000"/>
      <w:szCs w:val="24"/>
      <w:shd w:val="pct10" w:color="auto" w:fill="auto"/>
    </w:rPr>
  </w:style>
  <w:style w:type="paragraph" w:styleId="MacroText">
    <w:name w:val="macro"/>
    <w:basedOn w:val="Normal"/>
    <w:link w:val="MacroTextChar"/>
    <w:uiPriority w:val="99"/>
    <w:semiHidden/>
    <w:rsid w:val="00A96992"/>
    <w:pPr>
      <w:keepNext/>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alibri" w:hAnsi="Calibri"/>
      <w:b/>
      <w:color w:val="000000"/>
      <w:sz w:val="20"/>
      <w:szCs w:val="20"/>
    </w:rPr>
  </w:style>
  <w:style w:type="character" w:customStyle="1" w:styleId="MacroTextChar">
    <w:name w:val="Macro Text Char"/>
    <w:basedOn w:val="DefaultParagraphFont"/>
    <w:link w:val="MacroText"/>
    <w:uiPriority w:val="99"/>
    <w:semiHidden/>
    <w:rsid w:val="000F72E9"/>
    <w:rPr>
      <w:rFonts w:ascii="Calibri" w:hAnsi="Calibri"/>
      <w:b/>
      <w:color w:val="000000"/>
      <w:sz w:val="20"/>
      <w:szCs w:val="20"/>
    </w:rPr>
  </w:style>
  <w:style w:type="paragraph" w:styleId="NormalWeb">
    <w:name w:val="Normal (Web)"/>
    <w:basedOn w:val="Normal"/>
    <w:uiPriority w:val="99"/>
    <w:semiHidden/>
    <w:rsid w:val="00A96992"/>
    <w:rPr>
      <w:szCs w:val="24"/>
    </w:rPr>
  </w:style>
  <w:style w:type="character" w:styleId="PlaceholderText">
    <w:name w:val="Placeholder Text"/>
    <w:basedOn w:val="DefaultParagraphFont"/>
    <w:uiPriority w:val="99"/>
    <w:semiHidden/>
    <w:rsid w:val="00A96992"/>
    <w:rPr>
      <w:color w:val="7F7F7F"/>
    </w:rPr>
  </w:style>
  <w:style w:type="paragraph" w:styleId="BalloonText">
    <w:name w:val="Balloon Text"/>
    <w:basedOn w:val="Normal"/>
    <w:link w:val="BalloonTextChar"/>
    <w:uiPriority w:val="54"/>
    <w:semiHidden/>
    <w:rsid w:val="000F72E9"/>
    <w:pPr>
      <w:spacing w:after="0" w:line="240" w:lineRule="auto"/>
    </w:pPr>
    <w:rPr>
      <w:rFonts w:ascii="Tahoma" w:hAnsi="Tahoma" w:cs="Tahoma"/>
      <w:sz w:val="16"/>
      <w:szCs w:val="16"/>
    </w:rPr>
  </w:style>
  <w:style w:type="paragraph" w:styleId="TableofAuthorities">
    <w:name w:val="table of authorities"/>
    <w:basedOn w:val="TOCHeading"/>
    <w:next w:val="Normal"/>
    <w:uiPriority w:val="12"/>
    <w:rsid w:val="00096DF7"/>
  </w:style>
  <w:style w:type="paragraph" w:styleId="TableofFigures">
    <w:name w:val="table of figures"/>
    <w:basedOn w:val="TableofAuthorities"/>
    <w:next w:val="Normal"/>
    <w:uiPriority w:val="12"/>
    <w:rsid w:val="00A96992"/>
  </w:style>
  <w:style w:type="paragraph" w:styleId="ListBullet2">
    <w:name w:val="List Bullet 2"/>
    <w:basedOn w:val="Normal"/>
    <w:link w:val="ListBullet2Char"/>
    <w:uiPriority w:val="99"/>
    <w:semiHidden/>
    <w:rsid w:val="00A96992"/>
    <w:pPr>
      <w:keepNext/>
      <w:numPr>
        <w:ilvl w:val="1"/>
        <w:numId w:val="2"/>
      </w:numPr>
      <w:suppressAutoHyphens/>
      <w:spacing w:after="120"/>
    </w:pPr>
    <w:rPr>
      <w:color w:val="000000"/>
    </w:rPr>
  </w:style>
  <w:style w:type="paragraph" w:styleId="ListBullet3">
    <w:name w:val="List Bullet 3"/>
    <w:basedOn w:val="Normal"/>
    <w:link w:val="ListBullet3Char"/>
    <w:uiPriority w:val="99"/>
    <w:semiHidden/>
    <w:rsid w:val="00A96992"/>
    <w:pPr>
      <w:keepNext/>
      <w:numPr>
        <w:ilvl w:val="2"/>
        <w:numId w:val="2"/>
      </w:numPr>
      <w:suppressAutoHyphens/>
      <w:spacing w:after="120"/>
    </w:pPr>
    <w:rPr>
      <w:color w:val="000000"/>
    </w:rPr>
  </w:style>
  <w:style w:type="paragraph" w:styleId="ListBullet4">
    <w:name w:val="List Bullet 4"/>
    <w:basedOn w:val="Normal"/>
    <w:link w:val="ListBullet4Char"/>
    <w:uiPriority w:val="99"/>
    <w:semiHidden/>
    <w:rsid w:val="00A96992"/>
    <w:pPr>
      <w:keepNext/>
      <w:numPr>
        <w:ilvl w:val="3"/>
        <w:numId w:val="2"/>
      </w:numPr>
      <w:suppressAutoHyphens/>
      <w:spacing w:after="120"/>
    </w:pPr>
    <w:rPr>
      <w:color w:val="000000"/>
    </w:rPr>
  </w:style>
  <w:style w:type="paragraph" w:styleId="ListBullet5">
    <w:name w:val="List Bullet 5"/>
    <w:basedOn w:val="Normal"/>
    <w:link w:val="ListBullet5Char"/>
    <w:uiPriority w:val="99"/>
    <w:semiHidden/>
    <w:rsid w:val="00A96992"/>
    <w:pPr>
      <w:keepNext/>
      <w:numPr>
        <w:ilvl w:val="4"/>
        <w:numId w:val="2"/>
      </w:numPr>
      <w:suppressAutoHyphens/>
      <w:spacing w:after="120"/>
    </w:pPr>
    <w:rPr>
      <w:color w:val="000000"/>
    </w:rPr>
  </w:style>
  <w:style w:type="paragraph" w:customStyle="1" w:styleId="Bullet-1">
    <w:name w:val="Bullet - 1"/>
    <w:basedOn w:val="ListBullet"/>
    <w:link w:val="Bullet-1Char"/>
    <w:uiPriority w:val="3"/>
    <w:qFormat/>
    <w:rsid w:val="00A96992"/>
  </w:style>
  <w:style w:type="paragraph" w:customStyle="1" w:styleId="Bullet-2">
    <w:name w:val="Bullet - 2"/>
    <w:basedOn w:val="ListBullet2"/>
    <w:link w:val="Bullet-2Char"/>
    <w:uiPriority w:val="3"/>
    <w:qFormat/>
    <w:rsid w:val="00A96992"/>
  </w:style>
  <w:style w:type="character" w:customStyle="1" w:styleId="ListBulletChar">
    <w:name w:val="List Bullet Char"/>
    <w:basedOn w:val="DefaultParagraphFont"/>
    <w:link w:val="ListBullet"/>
    <w:uiPriority w:val="99"/>
    <w:semiHidden/>
    <w:rsid w:val="000F72E9"/>
    <w:rPr>
      <w:color w:val="000000"/>
    </w:rPr>
  </w:style>
  <w:style w:type="character" w:customStyle="1" w:styleId="Bullet-1Char">
    <w:name w:val="Bullet - 1 Char"/>
    <w:basedOn w:val="ListBulletChar"/>
    <w:link w:val="Bullet-1"/>
    <w:uiPriority w:val="3"/>
    <w:rsid w:val="00A96992"/>
    <w:rPr>
      <w:color w:val="000000"/>
    </w:rPr>
  </w:style>
  <w:style w:type="paragraph" w:customStyle="1" w:styleId="Bullet-3">
    <w:name w:val="Bullet - 3"/>
    <w:basedOn w:val="ListBullet3"/>
    <w:link w:val="Bullet-3Char"/>
    <w:uiPriority w:val="3"/>
    <w:qFormat/>
    <w:rsid w:val="00A96992"/>
  </w:style>
  <w:style w:type="character" w:customStyle="1" w:styleId="ListBullet2Char">
    <w:name w:val="List Bullet 2 Char"/>
    <w:basedOn w:val="DefaultParagraphFont"/>
    <w:link w:val="ListBullet2"/>
    <w:uiPriority w:val="99"/>
    <w:semiHidden/>
    <w:rsid w:val="000F72E9"/>
    <w:rPr>
      <w:color w:val="000000"/>
    </w:rPr>
  </w:style>
  <w:style w:type="character" w:customStyle="1" w:styleId="Bullet-2Char">
    <w:name w:val="Bullet - 2 Char"/>
    <w:basedOn w:val="ListBullet2Char"/>
    <w:link w:val="Bullet-2"/>
    <w:uiPriority w:val="3"/>
    <w:rsid w:val="00A96992"/>
    <w:rPr>
      <w:color w:val="000000"/>
    </w:rPr>
  </w:style>
  <w:style w:type="paragraph" w:customStyle="1" w:styleId="Bullet-4">
    <w:name w:val="Bullet - 4"/>
    <w:basedOn w:val="ListBullet4"/>
    <w:link w:val="Bullet-4Char"/>
    <w:uiPriority w:val="3"/>
    <w:qFormat/>
    <w:rsid w:val="00A96992"/>
  </w:style>
  <w:style w:type="character" w:customStyle="1" w:styleId="ListBullet3Char">
    <w:name w:val="List Bullet 3 Char"/>
    <w:basedOn w:val="DefaultParagraphFont"/>
    <w:link w:val="ListBullet3"/>
    <w:uiPriority w:val="99"/>
    <w:semiHidden/>
    <w:rsid w:val="000F72E9"/>
    <w:rPr>
      <w:color w:val="000000"/>
    </w:rPr>
  </w:style>
  <w:style w:type="character" w:customStyle="1" w:styleId="Bullet-3Char">
    <w:name w:val="Bullet - 3 Char"/>
    <w:basedOn w:val="ListBullet3Char"/>
    <w:link w:val="Bullet-3"/>
    <w:uiPriority w:val="3"/>
    <w:rsid w:val="00A96992"/>
    <w:rPr>
      <w:color w:val="000000"/>
    </w:rPr>
  </w:style>
  <w:style w:type="paragraph" w:customStyle="1" w:styleId="Bullet-5">
    <w:name w:val="Bullet - 5"/>
    <w:basedOn w:val="ListBullet5"/>
    <w:link w:val="Bullet5Char"/>
    <w:uiPriority w:val="3"/>
    <w:qFormat/>
    <w:rsid w:val="00A96992"/>
  </w:style>
  <w:style w:type="character" w:customStyle="1" w:styleId="ListBullet4Char">
    <w:name w:val="List Bullet 4 Char"/>
    <w:basedOn w:val="DefaultParagraphFont"/>
    <w:link w:val="ListBullet4"/>
    <w:uiPriority w:val="99"/>
    <w:semiHidden/>
    <w:rsid w:val="000F72E9"/>
    <w:rPr>
      <w:color w:val="000000"/>
    </w:rPr>
  </w:style>
  <w:style w:type="character" w:customStyle="1" w:styleId="Bullet-4Char">
    <w:name w:val="Bullet - 4 Char"/>
    <w:basedOn w:val="ListBullet4Char"/>
    <w:link w:val="Bullet-4"/>
    <w:uiPriority w:val="3"/>
    <w:rsid w:val="00A96992"/>
    <w:rPr>
      <w:color w:val="000000"/>
    </w:rPr>
  </w:style>
  <w:style w:type="paragraph" w:customStyle="1" w:styleId="Bullet-6">
    <w:name w:val="Bullet - 6"/>
    <w:basedOn w:val="Normal"/>
    <w:link w:val="Bullet-6Char"/>
    <w:uiPriority w:val="3"/>
    <w:qFormat/>
    <w:rsid w:val="00A96992"/>
    <w:pPr>
      <w:keepNext/>
      <w:numPr>
        <w:ilvl w:val="5"/>
        <w:numId w:val="2"/>
      </w:numPr>
      <w:suppressAutoHyphens/>
      <w:spacing w:after="120"/>
    </w:pPr>
    <w:rPr>
      <w:color w:val="000000"/>
    </w:rPr>
  </w:style>
  <w:style w:type="character" w:customStyle="1" w:styleId="ListBullet5Char">
    <w:name w:val="List Bullet 5 Char"/>
    <w:basedOn w:val="DefaultParagraphFont"/>
    <w:link w:val="ListBullet5"/>
    <w:uiPriority w:val="99"/>
    <w:semiHidden/>
    <w:rsid w:val="000F72E9"/>
    <w:rPr>
      <w:color w:val="000000"/>
    </w:rPr>
  </w:style>
  <w:style w:type="character" w:customStyle="1" w:styleId="Bullet5Char">
    <w:name w:val="Bullet 5 Char"/>
    <w:basedOn w:val="ListBullet5Char"/>
    <w:link w:val="Bullet-5"/>
    <w:uiPriority w:val="3"/>
    <w:rsid w:val="00A96992"/>
    <w:rPr>
      <w:color w:val="000000"/>
    </w:rPr>
  </w:style>
  <w:style w:type="paragraph" w:customStyle="1" w:styleId="Bullet-7">
    <w:name w:val="Bullet - 7"/>
    <w:basedOn w:val="Normal"/>
    <w:link w:val="Bullet-7Char"/>
    <w:uiPriority w:val="3"/>
    <w:qFormat/>
    <w:rsid w:val="00A96992"/>
    <w:pPr>
      <w:keepNext/>
      <w:numPr>
        <w:ilvl w:val="6"/>
        <w:numId w:val="2"/>
      </w:numPr>
      <w:suppressAutoHyphens/>
      <w:spacing w:after="120"/>
    </w:pPr>
    <w:rPr>
      <w:color w:val="000000"/>
    </w:rPr>
  </w:style>
  <w:style w:type="character" w:customStyle="1" w:styleId="Bullet-6Char">
    <w:name w:val="Bullet - 6 Char"/>
    <w:basedOn w:val="DefaultParagraphFont"/>
    <w:link w:val="Bullet-6"/>
    <w:uiPriority w:val="3"/>
    <w:rsid w:val="007B60D7"/>
    <w:rPr>
      <w:color w:val="000000"/>
    </w:rPr>
  </w:style>
  <w:style w:type="paragraph" w:customStyle="1" w:styleId="Bullet-8">
    <w:name w:val="Bullet - 8"/>
    <w:basedOn w:val="Normal"/>
    <w:link w:val="Bullet-8Char"/>
    <w:uiPriority w:val="3"/>
    <w:qFormat/>
    <w:rsid w:val="00A96992"/>
    <w:pPr>
      <w:keepNext/>
      <w:numPr>
        <w:ilvl w:val="7"/>
        <w:numId w:val="2"/>
      </w:numPr>
      <w:suppressAutoHyphens/>
      <w:spacing w:after="120"/>
    </w:pPr>
    <w:rPr>
      <w:color w:val="000000"/>
    </w:rPr>
  </w:style>
  <w:style w:type="character" w:customStyle="1" w:styleId="Bullet-7Char">
    <w:name w:val="Bullet - 7 Char"/>
    <w:basedOn w:val="DefaultParagraphFont"/>
    <w:link w:val="Bullet-7"/>
    <w:uiPriority w:val="3"/>
    <w:rsid w:val="007B60D7"/>
    <w:rPr>
      <w:color w:val="000000"/>
    </w:rPr>
  </w:style>
  <w:style w:type="paragraph" w:customStyle="1" w:styleId="Bullet-9">
    <w:name w:val="Bullet - 9"/>
    <w:basedOn w:val="Normal"/>
    <w:link w:val="Bullet-9Char"/>
    <w:uiPriority w:val="3"/>
    <w:qFormat/>
    <w:rsid w:val="00A96992"/>
    <w:pPr>
      <w:keepNext/>
      <w:numPr>
        <w:ilvl w:val="8"/>
        <w:numId w:val="2"/>
      </w:numPr>
      <w:suppressAutoHyphens/>
      <w:spacing w:after="120"/>
    </w:pPr>
    <w:rPr>
      <w:color w:val="000000"/>
    </w:rPr>
  </w:style>
  <w:style w:type="character" w:customStyle="1" w:styleId="Bullet-8Char">
    <w:name w:val="Bullet - 8 Char"/>
    <w:basedOn w:val="DefaultParagraphFont"/>
    <w:link w:val="Bullet-8"/>
    <w:uiPriority w:val="3"/>
    <w:rsid w:val="007B60D7"/>
    <w:rPr>
      <w:color w:val="000000"/>
    </w:rPr>
  </w:style>
  <w:style w:type="character" w:customStyle="1" w:styleId="Bullet-9Char">
    <w:name w:val="Bullet - 9 Char"/>
    <w:basedOn w:val="DefaultParagraphFont"/>
    <w:link w:val="Bullet-9"/>
    <w:uiPriority w:val="3"/>
    <w:rsid w:val="007B60D7"/>
    <w:rPr>
      <w:color w:val="000000"/>
    </w:rPr>
  </w:style>
  <w:style w:type="paragraph" w:customStyle="1" w:styleId="Table-Title">
    <w:name w:val="Table - Title"/>
    <w:basedOn w:val="Normal"/>
    <w:link w:val="Table-TitleChar"/>
    <w:uiPriority w:val="22"/>
    <w:qFormat/>
    <w:rsid w:val="000F72E9"/>
    <w:pPr>
      <w:keepNext/>
      <w:suppressAutoHyphens/>
      <w:spacing w:after="0"/>
      <w:jc w:val="center"/>
    </w:pPr>
    <w:rPr>
      <w:rFonts w:ascii="Calibri" w:hAnsi="Calibri"/>
      <w:b/>
      <w:color w:val="FFFFFF"/>
      <w:sz w:val="24"/>
      <w:szCs w:val="24"/>
    </w:rPr>
  </w:style>
  <w:style w:type="paragraph" w:customStyle="1" w:styleId="Table-Subtitle">
    <w:name w:val="Table - Subtitle"/>
    <w:basedOn w:val="Table-Title"/>
    <w:link w:val="Table-SubtitleChar"/>
    <w:uiPriority w:val="23"/>
    <w:qFormat/>
    <w:rsid w:val="00DD2EF3"/>
    <w:pPr>
      <w:spacing w:line="240" w:lineRule="auto"/>
      <w:jc w:val="left"/>
    </w:pPr>
    <w:rPr>
      <w:bCs/>
    </w:rPr>
  </w:style>
  <w:style w:type="character" w:customStyle="1" w:styleId="Table-TitleChar">
    <w:name w:val="Table - Title Char"/>
    <w:basedOn w:val="DefaultParagraphFont"/>
    <w:link w:val="Table-Title"/>
    <w:uiPriority w:val="22"/>
    <w:rsid w:val="00DD2EF3"/>
    <w:rPr>
      <w:rFonts w:ascii="Calibri" w:hAnsi="Calibri"/>
      <w:b/>
      <w:color w:val="FFFFFF"/>
      <w:sz w:val="24"/>
      <w:szCs w:val="24"/>
    </w:rPr>
  </w:style>
  <w:style w:type="paragraph" w:customStyle="1" w:styleId="Table-Column1">
    <w:name w:val="Table - Column 1"/>
    <w:basedOn w:val="Normal"/>
    <w:link w:val="Table-Column1Char"/>
    <w:uiPriority w:val="24"/>
    <w:qFormat/>
    <w:rsid w:val="00DD2EF3"/>
    <w:pPr>
      <w:keepNext/>
      <w:suppressAutoHyphens/>
      <w:spacing w:after="0"/>
    </w:pPr>
    <w:rPr>
      <w:rFonts w:ascii="Calibri" w:hAnsi="Calibri"/>
      <w:b/>
      <w:bCs/>
      <w:color w:val="000000"/>
    </w:rPr>
  </w:style>
  <w:style w:type="character" w:customStyle="1" w:styleId="Table-SubtitleChar">
    <w:name w:val="Table - Subtitle Char"/>
    <w:basedOn w:val="DefaultParagraphFont"/>
    <w:link w:val="Table-Subtitle"/>
    <w:uiPriority w:val="23"/>
    <w:rsid w:val="00DD2EF3"/>
    <w:rPr>
      <w:rFonts w:ascii="Calibri" w:hAnsi="Calibri"/>
      <w:b/>
      <w:bCs/>
      <w:color w:val="FFFFFF"/>
      <w:sz w:val="24"/>
      <w:szCs w:val="24"/>
    </w:rPr>
  </w:style>
  <w:style w:type="paragraph" w:customStyle="1" w:styleId="Table-ColumnsRows">
    <w:name w:val="Table - Columns &amp; Rows"/>
    <w:basedOn w:val="Normal"/>
    <w:link w:val="Table-ColumnsRowsChar"/>
    <w:uiPriority w:val="24"/>
    <w:qFormat/>
    <w:rsid w:val="002F3C57"/>
    <w:pPr>
      <w:keepNext/>
      <w:suppressAutoHyphens/>
      <w:spacing w:after="0"/>
    </w:pPr>
    <w:rPr>
      <w:rFonts w:ascii="Calibri" w:hAnsi="Calibri"/>
      <w:color w:val="000000"/>
    </w:rPr>
  </w:style>
  <w:style w:type="character" w:customStyle="1" w:styleId="Table-Column1Char">
    <w:name w:val="Table - Column 1 Char"/>
    <w:basedOn w:val="DefaultParagraphFont"/>
    <w:link w:val="Table-Column1"/>
    <w:uiPriority w:val="24"/>
    <w:rsid w:val="00DD2EF3"/>
    <w:rPr>
      <w:rFonts w:ascii="Calibri" w:hAnsi="Calibri"/>
      <w:b/>
      <w:bCs/>
      <w:color w:val="000000"/>
    </w:rPr>
  </w:style>
  <w:style w:type="paragraph" w:styleId="TOCHeading">
    <w:name w:val="TOC Heading"/>
    <w:basedOn w:val="Normal"/>
    <w:next w:val="Normal"/>
    <w:link w:val="TOCHeadingChar"/>
    <w:uiPriority w:val="39"/>
    <w:qFormat/>
    <w:rsid w:val="00077DD6"/>
    <w:pPr>
      <w:keepLines/>
      <w:pBdr>
        <w:bottom w:val="single" w:sz="4" w:space="1" w:color="84AA33"/>
      </w:pBdr>
      <w:suppressAutoHyphens/>
      <w:spacing w:before="200" w:after="240" w:line="360" w:lineRule="exact"/>
      <w:outlineLvl w:val="0"/>
    </w:pPr>
    <w:rPr>
      <w:rFonts w:ascii="Calibri" w:hAnsi="Calibri"/>
      <w:b/>
      <w:bCs/>
      <w:iCs/>
      <w:caps/>
      <w:noProof/>
      <w:color w:val="0070C0"/>
      <w:spacing w:val="20"/>
      <w:sz w:val="32"/>
      <w:szCs w:val="24"/>
    </w:rPr>
  </w:style>
  <w:style w:type="character" w:customStyle="1" w:styleId="Table-ColumnsRowsChar">
    <w:name w:val="Table - Columns &amp; Rows Char"/>
    <w:basedOn w:val="DefaultParagraphFont"/>
    <w:link w:val="Table-ColumnsRows"/>
    <w:uiPriority w:val="24"/>
    <w:rsid w:val="00DD2EF3"/>
    <w:rPr>
      <w:rFonts w:ascii="Calibri" w:hAnsi="Calibri"/>
      <w:color w:val="000000"/>
    </w:rPr>
  </w:style>
  <w:style w:type="paragraph" w:styleId="Caption">
    <w:name w:val="caption"/>
    <w:basedOn w:val="Normal"/>
    <w:next w:val="Normal"/>
    <w:uiPriority w:val="5"/>
    <w:qFormat/>
    <w:rsid w:val="00585254"/>
    <w:pPr>
      <w:spacing w:after="200" w:line="240" w:lineRule="auto"/>
    </w:pPr>
    <w:rPr>
      <w:rFonts w:ascii="Calibri" w:hAnsi="Calibri"/>
      <w:b/>
      <w:bCs/>
      <w:color w:val="000000"/>
      <w:sz w:val="18"/>
      <w:szCs w:val="18"/>
    </w:rPr>
  </w:style>
  <w:style w:type="paragraph" w:customStyle="1" w:styleId="SidebarStyle0">
    <w:name w:val="Sidebar Style"/>
    <w:basedOn w:val="Normal"/>
    <w:link w:val="SidebarStyleChar0"/>
    <w:uiPriority w:val="21"/>
    <w:qFormat/>
    <w:rsid w:val="00AB568F"/>
    <w:pPr>
      <w:keepNext/>
      <w:suppressAutoHyphens/>
      <w:spacing w:line="400" w:lineRule="exact"/>
      <w:jc w:val="right"/>
    </w:pPr>
    <w:rPr>
      <w:b/>
      <w:i/>
      <w:color w:val="0070C0"/>
      <w:sz w:val="32"/>
      <w:szCs w:val="32"/>
    </w:rPr>
  </w:style>
  <w:style w:type="character" w:customStyle="1" w:styleId="SidebarStyleChar0">
    <w:name w:val="Sidebar Style Char"/>
    <w:basedOn w:val="DefaultParagraphFont"/>
    <w:link w:val="SidebarStyle0"/>
    <w:uiPriority w:val="21"/>
    <w:rsid w:val="00AB568F"/>
    <w:rPr>
      <w:b/>
      <w:i/>
      <w:color w:val="0070C0"/>
      <w:sz w:val="32"/>
      <w:szCs w:val="32"/>
    </w:rPr>
  </w:style>
  <w:style w:type="paragraph" w:customStyle="1" w:styleId="OrgChart-Level2">
    <w:name w:val="OrgChart - Level 2"/>
    <w:basedOn w:val="Normal"/>
    <w:link w:val="OrgChart-Level2Char"/>
    <w:uiPriority w:val="26"/>
    <w:qFormat/>
    <w:rsid w:val="00AB568F"/>
    <w:pPr>
      <w:spacing w:after="60" w:line="240" w:lineRule="auto"/>
      <w:jc w:val="center"/>
    </w:pPr>
    <w:rPr>
      <w:rFonts w:ascii="Calibri" w:hAnsi="Calibri"/>
      <w:b/>
      <w:color w:val="000000"/>
    </w:rPr>
  </w:style>
  <w:style w:type="paragraph" w:customStyle="1" w:styleId="OrgChart-Level3">
    <w:name w:val="OrgChart - Level 3"/>
    <w:basedOn w:val="Normal"/>
    <w:link w:val="OrgChart-Level3Char"/>
    <w:uiPriority w:val="27"/>
    <w:qFormat/>
    <w:rsid w:val="00AB568F"/>
    <w:pPr>
      <w:spacing w:after="60" w:line="240" w:lineRule="auto"/>
      <w:jc w:val="center"/>
    </w:pPr>
    <w:rPr>
      <w:rFonts w:ascii="Calibri" w:hAnsi="Calibri"/>
      <w:color w:val="000000"/>
    </w:rPr>
  </w:style>
  <w:style w:type="character" w:customStyle="1" w:styleId="OrgChart-Level2Char">
    <w:name w:val="OrgChart - Level 2 Char"/>
    <w:basedOn w:val="DefaultParagraphFont"/>
    <w:link w:val="OrgChart-Level2"/>
    <w:uiPriority w:val="26"/>
    <w:rsid w:val="00AB568F"/>
    <w:rPr>
      <w:rFonts w:ascii="Calibri" w:hAnsi="Calibri"/>
      <w:b/>
      <w:color w:val="000000"/>
    </w:rPr>
  </w:style>
  <w:style w:type="character" w:customStyle="1" w:styleId="OrgChart-Level3Char">
    <w:name w:val="OrgChart - Level 3 Char"/>
    <w:basedOn w:val="DefaultParagraphFont"/>
    <w:link w:val="OrgChart-Level3"/>
    <w:uiPriority w:val="27"/>
    <w:rsid w:val="00AB568F"/>
    <w:rPr>
      <w:rFonts w:ascii="Calibri" w:hAnsi="Calibri"/>
      <w:color w:val="000000"/>
    </w:rPr>
  </w:style>
  <w:style w:type="paragraph" w:customStyle="1" w:styleId="OrgChart-Level1BLUE">
    <w:name w:val="OrgChart - Level 1 BLUE"/>
    <w:basedOn w:val="Normal"/>
    <w:link w:val="OrgChart-Level1BLUEChar"/>
    <w:uiPriority w:val="26"/>
    <w:qFormat/>
    <w:rsid w:val="00AB568F"/>
    <w:pPr>
      <w:pBdr>
        <w:bottom w:val="single" w:sz="6" w:space="1" w:color="000000"/>
      </w:pBdr>
      <w:shd w:val="clear" w:color="auto" w:fill="0070C0"/>
      <w:spacing w:after="60" w:line="240" w:lineRule="auto"/>
      <w:jc w:val="center"/>
    </w:pPr>
    <w:rPr>
      <w:rFonts w:ascii="Calibri" w:hAnsi="Calibri"/>
      <w:b/>
      <w:color w:val="FFFFFF"/>
    </w:rPr>
  </w:style>
  <w:style w:type="character" w:customStyle="1" w:styleId="OrgChart-Level1BLUEChar">
    <w:name w:val="OrgChart - Level 1 BLUE Char"/>
    <w:basedOn w:val="DefaultParagraphFont"/>
    <w:link w:val="OrgChart-Level1BLUE"/>
    <w:uiPriority w:val="26"/>
    <w:rsid w:val="00AB568F"/>
    <w:rPr>
      <w:rFonts w:ascii="Calibri" w:hAnsi="Calibri"/>
      <w:b/>
      <w:color w:val="FFFFFF"/>
      <w:shd w:val="clear" w:color="auto" w:fill="0070C0"/>
    </w:rPr>
  </w:style>
  <w:style w:type="paragraph" w:customStyle="1" w:styleId="OrgChart-Title">
    <w:name w:val="OrgChart - Title"/>
    <w:basedOn w:val="Normal"/>
    <w:link w:val="OrgChart-TitleChar"/>
    <w:uiPriority w:val="25"/>
    <w:qFormat/>
    <w:rsid w:val="00AB568F"/>
    <w:pPr>
      <w:keepNext/>
      <w:suppressAutoHyphens/>
      <w:spacing w:after="80" w:line="290" w:lineRule="exact"/>
      <w:jc w:val="center"/>
    </w:pPr>
    <w:rPr>
      <w:b/>
      <w:color w:val="000000"/>
      <w:sz w:val="25"/>
      <w:szCs w:val="28"/>
    </w:rPr>
  </w:style>
  <w:style w:type="character" w:customStyle="1" w:styleId="OrgChart-TitleChar">
    <w:name w:val="OrgChart - Title Char"/>
    <w:basedOn w:val="DefaultParagraphFont"/>
    <w:link w:val="OrgChart-Title"/>
    <w:uiPriority w:val="25"/>
    <w:rsid w:val="00AB568F"/>
    <w:rPr>
      <w:b/>
      <w:color w:val="000000"/>
      <w:sz w:val="25"/>
      <w:szCs w:val="28"/>
    </w:rPr>
  </w:style>
  <w:style w:type="paragraph" w:customStyle="1" w:styleId="OrgChart-Level1BROWN">
    <w:name w:val="OrgChart - Level 1 BROWN"/>
    <w:basedOn w:val="OrgChart-Level1BLUE"/>
    <w:link w:val="OrgChart-Level1BROWNChar"/>
    <w:uiPriority w:val="26"/>
    <w:qFormat/>
    <w:rsid w:val="00AB568F"/>
    <w:pPr>
      <w:shd w:val="clear" w:color="auto" w:fill="996633"/>
    </w:pPr>
  </w:style>
  <w:style w:type="character" w:customStyle="1" w:styleId="OrgChart-Level1BROWNChar">
    <w:name w:val="OrgChart - Level 1 BROWN Char"/>
    <w:basedOn w:val="OrgChart-Level1BLUEChar"/>
    <w:link w:val="OrgChart-Level1BROWN"/>
    <w:uiPriority w:val="26"/>
    <w:rsid w:val="00AB568F"/>
    <w:rPr>
      <w:rFonts w:ascii="Calibri" w:hAnsi="Calibri"/>
      <w:b/>
      <w:color w:val="FFFFFF"/>
      <w:shd w:val="clear" w:color="auto" w:fill="996633"/>
    </w:rPr>
  </w:style>
  <w:style w:type="paragraph" w:customStyle="1" w:styleId="OrgChart-Level1GREEN">
    <w:name w:val="OrgChart - Level 1 GREEN"/>
    <w:link w:val="OrgChart-Level1GREENChar"/>
    <w:uiPriority w:val="26"/>
    <w:qFormat/>
    <w:rsid w:val="00AB568F"/>
    <w:pPr>
      <w:pBdr>
        <w:bottom w:val="single" w:sz="6" w:space="1" w:color="000000"/>
      </w:pBdr>
      <w:shd w:val="clear" w:color="auto" w:fill="76B23F"/>
      <w:spacing w:after="60"/>
      <w:jc w:val="center"/>
    </w:pPr>
    <w:rPr>
      <w:rFonts w:ascii="Calibri" w:hAnsi="Calibri"/>
      <w:b/>
      <w:color w:val="000000"/>
      <w:sz w:val="21"/>
      <w:szCs w:val="21"/>
    </w:rPr>
  </w:style>
  <w:style w:type="character" w:customStyle="1" w:styleId="OrgChart-Level1GREENChar">
    <w:name w:val="OrgChart - Level 1 GREEN Char"/>
    <w:basedOn w:val="DefaultParagraphFont"/>
    <w:link w:val="OrgChart-Level1GREEN"/>
    <w:uiPriority w:val="26"/>
    <w:rsid w:val="00AB568F"/>
    <w:rPr>
      <w:rFonts w:ascii="Calibri" w:hAnsi="Calibri"/>
      <w:b/>
      <w:color w:val="000000"/>
      <w:sz w:val="21"/>
      <w:szCs w:val="21"/>
      <w:shd w:val="clear" w:color="auto" w:fill="76B23F"/>
      <w:lang w:val="en-US" w:eastAsia="en-US" w:bidi="ar-SA"/>
    </w:rPr>
  </w:style>
  <w:style w:type="paragraph" w:customStyle="1" w:styleId="PullQuote">
    <w:name w:val="Pull Quote"/>
    <w:basedOn w:val="Normal"/>
    <w:link w:val="PullQuoteChar"/>
    <w:uiPriority w:val="21"/>
    <w:qFormat/>
    <w:rsid w:val="001568B4"/>
    <w:pPr>
      <w:keepNext/>
      <w:suppressAutoHyphens/>
      <w:spacing w:after="0" w:line="280" w:lineRule="exact"/>
      <w:ind w:left="360"/>
      <w:jc w:val="right"/>
    </w:pPr>
    <w:rPr>
      <w:b/>
      <w:i/>
      <w:color w:val="0070C0"/>
      <w:sz w:val="24"/>
      <w:szCs w:val="24"/>
    </w:rPr>
  </w:style>
  <w:style w:type="character" w:customStyle="1" w:styleId="PullQuoteChar">
    <w:name w:val="Pull Quote Char"/>
    <w:basedOn w:val="DefaultParagraphFont"/>
    <w:link w:val="PullQuote"/>
    <w:uiPriority w:val="21"/>
    <w:rsid w:val="00AF6F5C"/>
    <w:rPr>
      <w:b/>
      <w:i/>
      <w:color w:val="0070C0"/>
      <w:sz w:val="24"/>
      <w:szCs w:val="24"/>
    </w:rPr>
  </w:style>
  <w:style w:type="paragraph" w:customStyle="1" w:styleId="OrgChart-Italics">
    <w:name w:val="OrgChart - Italics"/>
    <w:basedOn w:val="OrgChart-Level3"/>
    <w:link w:val="OrgChart-ItalicsChar"/>
    <w:uiPriority w:val="27"/>
    <w:qFormat/>
    <w:rsid w:val="004A28EB"/>
    <w:rPr>
      <w:i/>
    </w:rPr>
  </w:style>
  <w:style w:type="character" w:customStyle="1" w:styleId="OrgChart-ItalicsChar">
    <w:name w:val="OrgChart - Italics Char"/>
    <w:basedOn w:val="OrgChart-Level3Char"/>
    <w:link w:val="OrgChart-Italics"/>
    <w:uiPriority w:val="27"/>
    <w:rsid w:val="004A28EB"/>
    <w:rPr>
      <w:rFonts w:ascii="Calibri" w:hAnsi="Calibri"/>
      <w:i/>
      <w:color w:val="000000"/>
    </w:rPr>
  </w:style>
  <w:style w:type="character" w:customStyle="1" w:styleId="BalloonTextChar">
    <w:name w:val="Balloon Text Char"/>
    <w:basedOn w:val="DefaultParagraphFont"/>
    <w:link w:val="BalloonText"/>
    <w:uiPriority w:val="54"/>
    <w:semiHidden/>
    <w:rsid w:val="00DD2EF3"/>
    <w:rPr>
      <w:rFonts w:ascii="Tahoma" w:hAnsi="Tahoma" w:cs="Tahoma"/>
      <w:sz w:val="16"/>
      <w:szCs w:val="16"/>
    </w:rPr>
  </w:style>
  <w:style w:type="character" w:styleId="CommentReference">
    <w:name w:val="annotation reference"/>
    <w:basedOn w:val="DefaultParagraphFont"/>
    <w:uiPriority w:val="99"/>
    <w:semiHidden/>
    <w:rsid w:val="001353D9"/>
    <w:rPr>
      <w:sz w:val="16"/>
      <w:szCs w:val="16"/>
    </w:rPr>
  </w:style>
  <w:style w:type="paragraph" w:styleId="CommentSubject">
    <w:name w:val="annotation subject"/>
    <w:basedOn w:val="CommentText"/>
    <w:next w:val="CommentText"/>
    <w:link w:val="CommentSubjectChar"/>
    <w:uiPriority w:val="54"/>
    <w:semiHidden/>
    <w:rsid w:val="001353D9"/>
    <w:pPr>
      <w:jc w:val="both"/>
    </w:pPr>
    <w:rPr>
      <w:b/>
      <w:bCs/>
    </w:rPr>
  </w:style>
  <w:style w:type="character" w:customStyle="1" w:styleId="CommentSubjectChar">
    <w:name w:val="Comment Subject Char"/>
    <w:basedOn w:val="CommentTextChar"/>
    <w:link w:val="CommentSubject"/>
    <w:uiPriority w:val="54"/>
    <w:semiHidden/>
    <w:rsid w:val="00DD2EF3"/>
    <w:rPr>
      <w:b/>
      <w:bCs/>
      <w:sz w:val="20"/>
    </w:rPr>
  </w:style>
  <w:style w:type="character" w:customStyle="1" w:styleId="HeaderChar">
    <w:name w:val="Header Char"/>
    <w:basedOn w:val="DefaultParagraphFont"/>
    <w:link w:val="Header"/>
    <w:uiPriority w:val="99"/>
    <w:rsid w:val="000F72E9"/>
    <w:rPr>
      <w:rFonts w:ascii="Calibri Bold" w:hAnsi="Calibri Bold"/>
      <w:b/>
      <w:caps/>
      <w:color w:val="FFFFFF"/>
    </w:rPr>
  </w:style>
  <w:style w:type="character" w:styleId="Emphasis">
    <w:name w:val="Emphasis"/>
    <w:basedOn w:val="DefaultParagraphFont"/>
    <w:uiPriority w:val="6"/>
    <w:qFormat/>
    <w:rsid w:val="001353D9"/>
    <w:rPr>
      <w:b/>
      <w:bCs/>
      <w:i w:val="0"/>
      <w:iCs w:val="0"/>
    </w:rPr>
  </w:style>
  <w:style w:type="paragraph" w:styleId="Revision">
    <w:name w:val="Revision"/>
    <w:hidden/>
    <w:uiPriority w:val="99"/>
    <w:semiHidden/>
    <w:rsid w:val="001353D9"/>
    <w:rPr>
      <w:rFonts w:ascii="Times New Roman" w:hAnsi="Times New Roman"/>
      <w:sz w:val="22"/>
    </w:rPr>
  </w:style>
  <w:style w:type="character" w:customStyle="1" w:styleId="FooterChar">
    <w:name w:val="Footer Char"/>
    <w:basedOn w:val="DefaultParagraphFont"/>
    <w:link w:val="Footer"/>
    <w:uiPriority w:val="5"/>
    <w:rsid w:val="00A0795E"/>
    <w:rPr>
      <w:rFonts w:ascii="Calibri" w:hAnsi="Calibri"/>
      <w:color w:val="404040"/>
      <w:sz w:val="15"/>
      <w:szCs w:val="16"/>
    </w:rPr>
  </w:style>
  <w:style w:type="paragraph" w:customStyle="1" w:styleId="Listof">
    <w:name w:val="List of ..."/>
    <w:basedOn w:val="TOCHeading"/>
    <w:next w:val="Normal"/>
    <w:link w:val="ListofChar"/>
    <w:uiPriority w:val="11"/>
    <w:qFormat/>
    <w:rsid w:val="00AE7028"/>
  </w:style>
  <w:style w:type="character" w:customStyle="1" w:styleId="TOCHeadingChar">
    <w:name w:val="TOC Heading Char"/>
    <w:basedOn w:val="DefaultParagraphFont"/>
    <w:link w:val="TOCHeading"/>
    <w:uiPriority w:val="12"/>
    <w:rsid w:val="000F72E9"/>
    <w:rPr>
      <w:rFonts w:ascii="Calibri" w:hAnsi="Calibri"/>
      <w:b/>
      <w:bCs/>
      <w:iCs/>
      <w:caps/>
      <w:noProof/>
      <w:color w:val="0070C0"/>
      <w:spacing w:val="20"/>
      <w:sz w:val="32"/>
      <w:szCs w:val="24"/>
    </w:rPr>
  </w:style>
  <w:style w:type="character" w:customStyle="1" w:styleId="ListofChar">
    <w:name w:val="List of ... Char"/>
    <w:basedOn w:val="TOCHeadingChar"/>
    <w:link w:val="Listof"/>
    <w:uiPriority w:val="11"/>
    <w:rsid w:val="00AE7028"/>
    <w:rPr>
      <w:rFonts w:ascii="Calibri" w:hAnsi="Calibri"/>
      <w:b/>
      <w:bCs/>
      <w:iCs/>
      <w:caps/>
      <w:noProof/>
      <w:color w:val="0070C0"/>
      <w:spacing w:val="20"/>
      <w:sz w:val="32"/>
      <w:szCs w:val="24"/>
    </w:rPr>
  </w:style>
  <w:style w:type="paragraph" w:customStyle="1" w:styleId="COVER-Title">
    <w:name w:val="COVER-Title"/>
    <w:basedOn w:val="Normal"/>
    <w:uiPriority w:val="49"/>
    <w:unhideWhenUsed/>
    <w:qFormat/>
    <w:rsid w:val="006D2B08"/>
    <w:pPr>
      <w:suppressAutoHyphens/>
      <w:spacing w:after="40" w:line="440" w:lineRule="exact"/>
      <w:jc w:val="right"/>
    </w:pPr>
    <w:rPr>
      <w:rFonts w:eastAsia="Calibri"/>
      <w:b/>
      <w:color w:val="FFFFFF"/>
      <w:sz w:val="40"/>
      <w:szCs w:val="24"/>
    </w:rPr>
  </w:style>
  <w:style w:type="paragraph" w:customStyle="1" w:styleId="COVER-Date">
    <w:name w:val="COVER-Date"/>
    <w:basedOn w:val="Normal"/>
    <w:uiPriority w:val="49"/>
    <w:unhideWhenUsed/>
    <w:qFormat/>
    <w:rsid w:val="006D2B08"/>
    <w:pPr>
      <w:spacing w:line="360" w:lineRule="exact"/>
      <w:jc w:val="right"/>
    </w:pPr>
    <w:rPr>
      <w:rFonts w:ascii="Calibri" w:eastAsia="Calibri" w:hAnsi="Calibri"/>
      <w:b/>
      <w:color w:val="FFFFFF"/>
      <w:sz w:val="32"/>
      <w:szCs w:val="32"/>
    </w:rPr>
  </w:style>
  <w:style w:type="paragraph" w:customStyle="1" w:styleId="TypeofDocument">
    <w:name w:val="Type of Document"/>
    <w:basedOn w:val="Normal"/>
    <w:link w:val="TypeofDocumentChar"/>
    <w:uiPriority w:val="49"/>
    <w:unhideWhenUsed/>
    <w:qFormat/>
    <w:rsid w:val="006D2B08"/>
    <w:pPr>
      <w:suppressAutoHyphens/>
      <w:spacing w:line="320" w:lineRule="exact"/>
      <w:jc w:val="right"/>
    </w:pPr>
    <w:rPr>
      <w:rFonts w:ascii="Calibri" w:eastAsia="Calibri" w:hAnsi="Calibri"/>
      <w:b/>
      <w:caps/>
      <w:color w:val="FFFFFF"/>
      <w:sz w:val="28"/>
    </w:rPr>
  </w:style>
  <w:style w:type="paragraph" w:customStyle="1" w:styleId="COVER-ClientName">
    <w:name w:val="COVER-Client Name"/>
    <w:basedOn w:val="Normal"/>
    <w:link w:val="COVER-ClientNameChar"/>
    <w:uiPriority w:val="49"/>
    <w:unhideWhenUsed/>
    <w:qFormat/>
    <w:rsid w:val="006D2B08"/>
    <w:pPr>
      <w:suppressAutoHyphens/>
      <w:spacing w:after="40" w:line="360" w:lineRule="exact"/>
      <w:jc w:val="right"/>
    </w:pPr>
    <w:rPr>
      <w:rFonts w:ascii="Calibri" w:eastAsia="Calibri" w:hAnsi="Calibri"/>
      <w:b/>
      <w:color w:val="FFFFFF"/>
      <w:sz w:val="32"/>
    </w:rPr>
  </w:style>
  <w:style w:type="character" w:customStyle="1" w:styleId="TypeofDocumentChar">
    <w:name w:val="Type of Document Char"/>
    <w:basedOn w:val="DefaultParagraphFont"/>
    <w:link w:val="TypeofDocument"/>
    <w:uiPriority w:val="49"/>
    <w:rsid w:val="000F72E9"/>
    <w:rPr>
      <w:rFonts w:ascii="Calibri" w:eastAsia="Calibri" w:hAnsi="Calibri"/>
      <w:b/>
      <w:caps/>
      <w:color w:val="FFFFFF"/>
      <w:sz w:val="28"/>
    </w:rPr>
  </w:style>
  <w:style w:type="character" w:customStyle="1" w:styleId="COVER-ClientNameChar">
    <w:name w:val="COVER-Client Name Char"/>
    <w:basedOn w:val="DefaultParagraphFont"/>
    <w:link w:val="COVER-ClientName"/>
    <w:uiPriority w:val="49"/>
    <w:rsid w:val="000F72E9"/>
    <w:rPr>
      <w:rFonts w:ascii="Calibri" w:eastAsia="Calibri" w:hAnsi="Calibri"/>
      <w:b/>
      <w:color w:val="FFFFFF"/>
      <w:sz w:val="32"/>
    </w:rPr>
  </w:style>
  <w:style w:type="character" w:styleId="Hyperlink">
    <w:name w:val="Hyperlink"/>
    <w:basedOn w:val="DefaultParagraphFont"/>
    <w:uiPriority w:val="99"/>
    <w:unhideWhenUsed/>
    <w:rsid w:val="00735348"/>
    <w:rPr>
      <w:color w:val="0084B4"/>
      <w:u w:val="single"/>
    </w:rPr>
  </w:style>
  <w:style w:type="paragraph" w:styleId="Subtitle">
    <w:name w:val="Subtitle"/>
    <w:basedOn w:val="Title"/>
    <w:next w:val="Normal"/>
    <w:link w:val="SubtitleChar"/>
    <w:uiPriority w:val="49"/>
    <w:semiHidden/>
    <w:unhideWhenUsed/>
    <w:qFormat/>
    <w:rsid w:val="00F04E46"/>
    <w:pPr>
      <w:keepLines/>
      <w:pBdr>
        <w:bottom w:val="none" w:sz="0" w:space="0" w:color="auto"/>
      </w:pBdr>
      <w:suppressAutoHyphens/>
      <w:spacing w:after="0" w:line="360" w:lineRule="exact"/>
      <w:contextualSpacing w:val="0"/>
      <w:jc w:val="right"/>
    </w:pPr>
    <w:rPr>
      <w:caps w:val="0"/>
      <w:color w:val="000000"/>
      <w:spacing w:val="0"/>
      <w:kern w:val="0"/>
      <w:sz w:val="28"/>
      <w:szCs w:val="28"/>
    </w:rPr>
  </w:style>
  <w:style w:type="character" w:customStyle="1" w:styleId="SubtitleChar">
    <w:name w:val="Subtitle Char"/>
    <w:basedOn w:val="DefaultParagraphFont"/>
    <w:link w:val="Subtitle"/>
    <w:uiPriority w:val="49"/>
    <w:semiHidden/>
    <w:rsid w:val="000F72E9"/>
    <w:rPr>
      <w:rFonts w:ascii="Calibri" w:hAnsi="Calibri"/>
      <w:b/>
      <w:color w:val="000000"/>
      <w:sz w:val="28"/>
      <w:szCs w:val="28"/>
    </w:rPr>
  </w:style>
  <w:style w:type="paragraph" w:customStyle="1" w:styleId="CopyrightStyle">
    <w:name w:val="Copyright Style"/>
    <w:basedOn w:val="Normal"/>
    <w:link w:val="CopyrightStyleChar"/>
    <w:uiPriority w:val="4"/>
    <w:semiHidden/>
    <w:qFormat/>
    <w:rsid w:val="00F04E46"/>
    <w:pPr>
      <w:keepLines/>
      <w:suppressAutoHyphens/>
      <w:spacing w:after="60" w:line="240" w:lineRule="exact"/>
      <w:jc w:val="right"/>
    </w:pPr>
    <w:rPr>
      <w:rFonts w:ascii="Calibri" w:hAnsi="Calibri"/>
      <w:b/>
      <w:color w:val="595959"/>
      <w:sz w:val="20"/>
      <w:szCs w:val="28"/>
    </w:rPr>
  </w:style>
  <w:style w:type="paragraph" w:customStyle="1" w:styleId="NOTICEtitle">
    <w:name w:val="NOTICE title"/>
    <w:link w:val="NOTICEtitleChar"/>
    <w:uiPriority w:val="2"/>
    <w:semiHidden/>
    <w:qFormat/>
    <w:rsid w:val="00F04E46"/>
    <w:pPr>
      <w:spacing w:after="120" w:line="250" w:lineRule="exact"/>
      <w:jc w:val="right"/>
    </w:pPr>
    <w:rPr>
      <w:rFonts w:ascii="Calibri" w:hAnsi="Calibri"/>
      <w:b/>
      <w:color w:val="595959"/>
      <w:sz w:val="28"/>
      <w:szCs w:val="28"/>
    </w:rPr>
  </w:style>
  <w:style w:type="character" w:customStyle="1" w:styleId="CopyrightStyleChar">
    <w:name w:val="Copyright Style Char"/>
    <w:basedOn w:val="DefaultParagraphFont"/>
    <w:link w:val="CopyrightStyle"/>
    <w:uiPriority w:val="4"/>
    <w:semiHidden/>
    <w:rsid w:val="00A0795E"/>
    <w:rPr>
      <w:rFonts w:ascii="Calibri" w:hAnsi="Calibri"/>
      <w:b/>
      <w:color w:val="595959"/>
      <w:sz w:val="20"/>
      <w:szCs w:val="28"/>
    </w:rPr>
  </w:style>
  <w:style w:type="paragraph" w:customStyle="1" w:styleId="NOTICEtext">
    <w:name w:val="NOTICE text"/>
    <w:basedOn w:val="Normal"/>
    <w:link w:val="NOTICEtextChar"/>
    <w:uiPriority w:val="3"/>
    <w:semiHidden/>
    <w:qFormat/>
    <w:rsid w:val="00F04E46"/>
    <w:pPr>
      <w:keepLines/>
      <w:suppressAutoHyphens/>
      <w:spacing w:after="0" w:line="360" w:lineRule="exact"/>
      <w:jc w:val="right"/>
    </w:pPr>
    <w:rPr>
      <w:color w:val="595959"/>
      <w:szCs w:val="23"/>
    </w:rPr>
  </w:style>
  <w:style w:type="character" w:customStyle="1" w:styleId="NOTICEtitleChar">
    <w:name w:val="NOTICE title Char"/>
    <w:basedOn w:val="SubtitleChar"/>
    <w:link w:val="NOTICEtitle"/>
    <w:uiPriority w:val="2"/>
    <w:semiHidden/>
    <w:rsid w:val="00DD2EF3"/>
    <w:rPr>
      <w:rFonts w:ascii="Calibri" w:hAnsi="Calibri"/>
      <w:b/>
      <w:color w:val="595959"/>
      <w:sz w:val="28"/>
      <w:szCs w:val="28"/>
      <w:lang w:val="en-US" w:eastAsia="en-US" w:bidi="ar-SA"/>
    </w:rPr>
  </w:style>
  <w:style w:type="character" w:customStyle="1" w:styleId="NOTICEtextChar">
    <w:name w:val="NOTICE text Char"/>
    <w:basedOn w:val="DefaultParagraphFont"/>
    <w:link w:val="NOTICEtext"/>
    <w:uiPriority w:val="3"/>
    <w:semiHidden/>
    <w:rsid w:val="00A0795E"/>
    <w:rPr>
      <w:color w:val="595959"/>
      <w:szCs w:val="23"/>
    </w:rPr>
  </w:style>
  <w:style w:type="paragraph" w:customStyle="1" w:styleId="RecycleNotice">
    <w:name w:val="Recycle Notice"/>
    <w:basedOn w:val="Normal"/>
    <w:link w:val="RecycleNoticeChar"/>
    <w:uiPriority w:val="4"/>
    <w:semiHidden/>
    <w:qFormat/>
    <w:rsid w:val="00F04E46"/>
    <w:pPr>
      <w:keepLines/>
      <w:suppressAutoHyphens/>
      <w:spacing w:after="0" w:line="230" w:lineRule="exact"/>
      <w:jc w:val="right"/>
    </w:pPr>
    <w:rPr>
      <w:i/>
      <w:color w:val="000000"/>
      <w:sz w:val="18"/>
    </w:rPr>
  </w:style>
  <w:style w:type="character" w:customStyle="1" w:styleId="RecycleNoticeChar">
    <w:name w:val="Recycle Notice Char"/>
    <w:basedOn w:val="DefaultParagraphFont"/>
    <w:link w:val="RecycleNotice"/>
    <w:uiPriority w:val="4"/>
    <w:semiHidden/>
    <w:rsid w:val="00A0795E"/>
    <w:rPr>
      <w:i/>
      <w:color w:val="000000"/>
      <w:sz w:val="18"/>
    </w:rPr>
  </w:style>
  <w:style w:type="paragraph" w:styleId="List">
    <w:name w:val="List"/>
    <w:basedOn w:val="Normal"/>
    <w:uiPriority w:val="3"/>
    <w:rsid w:val="008E7B25"/>
    <w:pPr>
      <w:numPr>
        <w:numId w:val="3"/>
      </w:numPr>
    </w:pPr>
  </w:style>
  <w:style w:type="paragraph" w:styleId="ListNumber">
    <w:name w:val="List Number"/>
    <w:basedOn w:val="Normal"/>
    <w:uiPriority w:val="99"/>
    <w:semiHidden/>
    <w:rsid w:val="00027F3B"/>
    <w:pPr>
      <w:numPr>
        <w:numId w:val="5"/>
      </w:numPr>
      <w:contextualSpacing/>
    </w:pPr>
  </w:style>
  <w:style w:type="paragraph" w:styleId="ListParagraph">
    <w:name w:val="List Paragraph"/>
    <w:basedOn w:val="Normal"/>
    <w:uiPriority w:val="34"/>
    <w:semiHidden/>
    <w:qFormat/>
    <w:rsid w:val="00027F3B"/>
    <w:pPr>
      <w:ind w:left="720"/>
      <w:contextualSpacing/>
    </w:pPr>
  </w:style>
  <w:style w:type="paragraph" w:styleId="ListNumber2">
    <w:name w:val="List Number 2"/>
    <w:basedOn w:val="Normal"/>
    <w:uiPriority w:val="99"/>
    <w:semiHidden/>
    <w:rsid w:val="00027F3B"/>
    <w:pPr>
      <w:ind w:left="576" w:hanging="288"/>
      <w:contextualSpacing/>
    </w:pPr>
  </w:style>
  <w:style w:type="paragraph" w:styleId="ListNumber3">
    <w:name w:val="List Number 3"/>
    <w:basedOn w:val="Normal"/>
    <w:uiPriority w:val="99"/>
    <w:semiHidden/>
    <w:rsid w:val="00027F3B"/>
    <w:pPr>
      <w:ind w:left="864" w:hanging="288"/>
      <w:contextualSpacing/>
    </w:pPr>
  </w:style>
  <w:style w:type="paragraph" w:styleId="ListNumber4">
    <w:name w:val="List Number 4"/>
    <w:basedOn w:val="Normal"/>
    <w:uiPriority w:val="99"/>
    <w:semiHidden/>
    <w:rsid w:val="00027F3B"/>
    <w:pPr>
      <w:ind w:left="1152" w:hanging="288"/>
      <w:contextualSpacing/>
    </w:pPr>
  </w:style>
  <w:style w:type="paragraph" w:styleId="ListNumber5">
    <w:name w:val="List Number 5"/>
    <w:basedOn w:val="Normal"/>
    <w:uiPriority w:val="99"/>
    <w:semiHidden/>
    <w:rsid w:val="00027F3B"/>
    <w:pPr>
      <w:ind w:left="1440" w:hanging="288"/>
      <w:contextualSpacing/>
    </w:pPr>
  </w:style>
  <w:style w:type="paragraph" w:customStyle="1" w:styleId="PageNumbers">
    <w:name w:val="Page Numbers"/>
    <w:basedOn w:val="Footer"/>
    <w:link w:val="PageNumbersChar"/>
    <w:uiPriority w:val="5"/>
    <w:qFormat/>
    <w:rsid w:val="002D17B9"/>
    <w:rPr>
      <w:color w:val="000000"/>
    </w:rPr>
  </w:style>
  <w:style w:type="character" w:customStyle="1" w:styleId="PageNumbersChar">
    <w:name w:val="Page Numbers Char"/>
    <w:basedOn w:val="FooterChar"/>
    <w:link w:val="PageNumbers"/>
    <w:uiPriority w:val="5"/>
    <w:rsid w:val="002D17B9"/>
    <w:rPr>
      <w:rFonts w:ascii="Calibri" w:hAnsi="Calibri"/>
      <w:b/>
      <w:color w:val="000000"/>
      <w:sz w:val="15"/>
      <w:szCs w:val="16"/>
    </w:rPr>
  </w:style>
  <w:style w:type="paragraph" w:customStyle="1" w:styleId="FooterCode">
    <w:name w:val="Footer Code"/>
    <w:link w:val="FooterCodeChar"/>
    <w:uiPriority w:val="7"/>
    <w:semiHidden/>
    <w:qFormat/>
    <w:rsid w:val="002D0D56"/>
    <w:pPr>
      <w:tabs>
        <w:tab w:val="left" w:pos="360"/>
      </w:tabs>
      <w:spacing w:after="160" w:line="250" w:lineRule="exact"/>
    </w:pPr>
    <w:rPr>
      <w:rFonts w:ascii="Calibri" w:hAnsi="Calibri"/>
      <w:color w:val="595959"/>
      <w:sz w:val="15"/>
      <w:szCs w:val="16"/>
    </w:rPr>
  </w:style>
  <w:style w:type="character" w:customStyle="1" w:styleId="FooterCodeChar">
    <w:name w:val="Footer Code Char"/>
    <w:basedOn w:val="DefaultParagraphFont"/>
    <w:link w:val="FooterCode"/>
    <w:uiPriority w:val="7"/>
    <w:semiHidden/>
    <w:rsid w:val="00A0795E"/>
    <w:rPr>
      <w:rFonts w:ascii="Calibri" w:hAnsi="Calibri"/>
      <w:color w:val="595959"/>
      <w:sz w:val="15"/>
      <w:szCs w:val="16"/>
      <w:lang w:val="en-US" w:eastAsia="en-US" w:bidi="ar-SA"/>
    </w:rPr>
  </w:style>
  <w:style w:type="paragraph" w:styleId="FootnoteText">
    <w:name w:val="footnote text"/>
    <w:basedOn w:val="Normal"/>
    <w:link w:val="FootnoteTextChar"/>
    <w:uiPriority w:val="99"/>
    <w:semiHidden/>
    <w:rsid w:val="00441B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B2E"/>
    <w:rPr>
      <w:sz w:val="20"/>
      <w:szCs w:val="20"/>
    </w:rPr>
  </w:style>
  <w:style w:type="character" w:styleId="FootnoteReference">
    <w:name w:val="footnote reference"/>
    <w:basedOn w:val="DefaultParagraphFont"/>
    <w:uiPriority w:val="99"/>
    <w:semiHidden/>
    <w:rsid w:val="00441B2E"/>
    <w:rPr>
      <w:vertAlign w:val="superscript"/>
    </w:rPr>
  </w:style>
  <w:style w:type="paragraph" w:customStyle="1" w:styleId="Default">
    <w:name w:val="Default"/>
    <w:rsid w:val="008E0952"/>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72220596">
      <w:bodyDiv w:val="1"/>
      <w:marLeft w:val="0"/>
      <w:marRight w:val="0"/>
      <w:marTop w:val="0"/>
      <w:marBottom w:val="0"/>
      <w:divBdr>
        <w:top w:val="none" w:sz="0" w:space="0" w:color="auto"/>
        <w:left w:val="none" w:sz="0" w:space="0" w:color="auto"/>
        <w:bottom w:val="none" w:sz="0" w:space="0" w:color="auto"/>
        <w:right w:val="none" w:sz="0" w:space="0" w:color="auto"/>
      </w:divBdr>
      <w:divsChild>
        <w:div w:id="1884828423">
          <w:marLeft w:val="0"/>
          <w:marRight w:val="0"/>
          <w:marTop w:val="0"/>
          <w:marBottom w:val="0"/>
          <w:divBdr>
            <w:top w:val="none" w:sz="0" w:space="0" w:color="auto"/>
            <w:left w:val="none" w:sz="0" w:space="0" w:color="auto"/>
            <w:bottom w:val="none" w:sz="0" w:space="0" w:color="auto"/>
            <w:right w:val="none" w:sz="0" w:space="0" w:color="auto"/>
          </w:divBdr>
        </w:div>
      </w:divsChild>
    </w:div>
    <w:div w:id="1226641415">
      <w:bodyDiv w:val="1"/>
      <w:marLeft w:val="0"/>
      <w:marRight w:val="0"/>
      <w:marTop w:val="0"/>
      <w:marBottom w:val="0"/>
      <w:divBdr>
        <w:top w:val="none" w:sz="0" w:space="0" w:color="auto"/>
        <w:left w:val="none" w:sz="0" w:space="0" w:color="auto"/>
        <w:bottom w:val="none" w:sz="0" w:space="0" w:color="auto"/>
        <w:right w:val="none" w:sz="0" w:space="0" w:color="auto"/>
      </w:divBdr>
      <w:divsChild>
        <w:div w:id="1126462641">
          <w:marLeft w:val="0"/>
          <w:marRight w:val="0"/>
          <w:marTop w:val="0"/>
          <w:marBottom w:val="0"/>
          <w:divBdr>
            <w:top w:val="none" w:sz="0" w:space="0" w:color="auto"/>
            <w:left w:val="none" w:sz="0" w:space="0" w:color="auto"/>
            <w:bottom w:val="none" w:sz="0" w:space="0" w:color="auto"/>
            <w:right w:val="none" w:sz="0" w:space="0" w:color="auto"/>
          </w:divBdr>
        </w:div>
      </w:divsChild>
    </w:div>
    <w:div w:id="1298802446">
      <w:bodyDiv w:val="1"/>
      <w:marLeft w:val="0"/>
      <w:marRight w:val="0"/>
      <w:marTop w:val="340"/>
      <w:marBottom w:val="340"/>
      <w:divBdr>
        <w:top w:val="none" w:sz="0" w:space="0" w:color="auto"/>
        <w:left w:val="none" w:sz="0" w:space="0" w:color="auto"/>
        <w:bottom w:val="none" w:sz="0" w:space="0" w:color="auto"/>
        <w:right w:val="none" w:sz="0" w:space="0" w:color="auto"/>
      </w:divBdr>
      <w:divsChild>
        <w:div w:id="1634941948">
          <w:marLeft w:val="0"/>
          <w:marRight w:val="0"/>
          <w:marTop w:val="204"/>
          <w:marBottom w:val="747"/>
          <w:divBdr>
            <w:top w:val="none" w:sz="0" w:space="0" w:color="auto"/>
            <w:left w:val="none" w:sz="0" w:space="0" w:color="auto"/>
            <w:bottom w:val="none" w:sz="0" w:space="0" w:color="auto"/>
            <w:right w:val="none" w:sz="0" w:space="0" w:color="auto"/>
          </w:divBdr>
        </w:div>
      </w:divsChild>
    </w:div>
    <w:div w:id="1654986472">
      <w:bodyDiv w:val="1"/>
      <w:marLeft w:val="0"/>
      <w:marRight w:val="0"/>
      <w:marTop w:val="0"/>
      <w:marBottom w:val="0"/>
      <w:divBdr>
        <w:top w:val="none" w:sz="0" w:space="0" w:color="auto"/>
        <w:left w:val="none" w:sz="0" w:space="0" w:color="auto"/>
        <w:bottom w:val="none" w:sz="0" w:space="0" w:color="auto"/>
        <w:right w:val="none" w:sz="0" w:space="0" w:color="auto"/>
      </w:divBdr>
    </w:div>
    <w:div w:id="1675498219">
      <w:bodyDiv w:val="1"/>
      <w:marLeft w:val="0"/>
      <w:marRight w:val="0"/>
      <w:marTop w:val="0"/>
      <w:marBottom w:val="0"/>
      <w:divBdr>
        <w:top w:val="none" w:sz="0" w:space="0" w:color="auto"/>
        <w:left w:val="none" w:sz="0" w:space="0" w:color="auto"/>
        <w:bottom w:val="none" w:sz="0" w:space="0" w:color="auto"/>
        <w:right w:val="none" w:sz="0" w:space="0" w:color="auto"/>
      </w:divBdr>
      <w:divsChild>
        <w:div w:id="1831211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footer4.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g:\winapps\msoff97\template\Reports%20&amp;%20Contracts\Report_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05288-E9DB-4C99-83A0-1F93AC237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Report_TEMPLATE.dotm</Template>
  <TotalTime>15</TotalTime>
  <Pages>26</Pages>
  <Words>11127</Words>
  <Characters>66647</Characters>
  <Application>Microsoft Office Word</Application>
  <DocSecurity>0</DocSecurity>
  <Lines>555</Lines>
  <Paragraphs>155</Paragraphs>
  <ScaleCrop>false</ScaleCrop>
  <HeadingPairs>
    <vt:vector size="2" baseType="variant">
      <vt:variant>
        <vt:lpstr>Title</vt:lpstr>
      </vt:variant>
      <vt:variant>
        <vt:i4>1</vt:i4>
      </vt:variant>
    </vt:vector>
  </HeadingPairs>
  <TitlesOfParts>
    <vt:vector size="1" baseType="lpstr">
      <vt:lpstr/>
    </vt:vector>
  </TitlesOfParts>
  <Company>O'Brien &amp; Gere</Company>
  <LinksUpToDate>false</LinksUpToDate>
  <CharactersWithSpaces>77619</CharactersWithSpaces>
  <SharedDoc>false</SharedDoc>
  <HLinks>
    <vt:vector size="162" baseType="variant">
      <vt:variant>
        <vt:i4>1507376</vt:i4>
      </vt:variant>
      <vt:variant>
        <vt:i4>158</vt:i4>
      </vt:variant>
      <vt:variant>
        <vt:i4>0</vt:i4>
      </vt:variant>
      <vt:variant>
        <vt:i4>5</vt:i4>
      </vt:variant>
      <vt:variant>
        <vt:lpwstr/>
      </vt:variant>
      <vt:variant>
        <vt:lpwstr>_Toc342563727</vt:lpwstr>
      </vt:variant>
      <vt:variant>
        <vt:i4>1507376</vt:i4>
      </vt:variant>
      <vt:variant>
        <vt:i4>152</vt:i4>
      </vt:variant>
      <vt:variant>
        <vt:i4>0</vt:i4>
      </vt:variant>
      <vt:variant>
        <vt:i4>5</vt:i4>
      </vt:variant>
      <vt:variant>
        <vt:lpwstr/>
      </vt:variant>
      <vt:variant>
        <vt:lpwstr>_Toc342563726</vt:lpwstr>
      </vt:variant>
      <vt:variant>
        <vt:i4>1507376</vt:i4>
      </vt:variant>
      <vt:variant>
        <vt:i4>146</vt:i4>
      </vt:variant>
      <vt:variant>
        <vt:i4>0</vt:i4>
      </vt:variant>
      <vt:variant>
        <vt:i4>5</vt:i4>
      </vt:variant>
      <vt:variant>
        <vt:lpwstr/>
      </vt:variant>
      <vt:variant>
        <vt:lpwstr>_Toc342563725</vt:lpwstr>
      </vt:variant>
      <vt:variant>
        <vt:i4>1507376</vt:i4>
      </vt:variant>
      <vt:variant>
        <vt:i4>140</vt:i4>
      </vt:variant>
      <vt:variant>
        <vt:i4>0</vt:i4>
      </vt:variant>
      <vt:variant>
        <vt:i4>5</vt:i4>
      </vt:variant>
      <vt:variant>
        <vt:lpwstr/>
      </vt:variant>
      <vt:variant>
        <vt:lpwstr>_Toc342563724</vt:lpwstr>
      </vt:variant>
      <vt:variant>
        <vt:i4>1507376</vt:i4>
      </vt:variant>
      <vt:variant>
        <vt:i4>134</vt:i4>
      </vt:variant>
      <vt:variant>
        <vt:i4>0</vt:i4>
      </vt:variant>
      <vt:variant>
        <vt:i4>5</vt:i4>
      </vt:variant>
      <vt:variant>
        <vt:lpwstr/>
      </vt:variant>
      <vt:variant>
        <vt:lpwstr>_Toc342563723</vt:lpwstr>
      </vt:variant>
      <vt:variant>
        <vt:i4>1507376</vt:i4>
      </vt:variant>
      <vt:variant>
        <vt:i4>128</vt:i4>
      </vt:variant>
      <vt:variant>
        <vt:i4>0</vt:i4>
      </vt:variant>
      <vt:variant>
        <vt:i4>5</vt:i4>
      </vt:variant>
      <vt:variant>
        <vt:lpwstr/>
      </vt:variant>
      <vt:variant>
        <vt:lpwstr>_Toc342563722</vt:lpwstr>
      </vt:variant>
      <vt:variant>
        <vt:i4>1507376</vt:i4>
      </vt:variant>
      <vt:variant>
        <vt:i4>122</vt:i4>
      </vt:variant>
      <vt:variant>
        <vt:i4>0</vt:i4>
      </vt:variant>
      <vt:variant>
        <vt:i4>5</vt:i4>
      </vt:variant>
      <vt:variant>
        <vt:lpwstr/>
      </vt:variant>
      <vt:variant>
        <vt:lpwstr>_Toc342563721</vt:lpwstr>
      </vt:variant>
      <vt:variant>
        <vt:i4>1507376</vt:i4>
      </vt:variant>
      <vt:variant>
        <vt:i4>116</vt:i4>
      </vt:variant>
      <vt:variant>
        <vt:i4>0</vt:i4>
      </vt:variant>
      <vt:variant>
        <vt:i4>5</vt:i4>
      </vt:variant>
      <vt:variant>
        <vt:lpwstr/>
      </vt:variant>
      <vt:variant>
        <vt:lpwstr>_Toc342563720</vt:lpwstr>
      </vt:variant>
      <vt:variant>
        <vt:i4>1310768</vt:i4>
      </vt:variant>
      <vt:variant>
        <vt:i4>110</vt:i4>
      </vt:variant>
      <vt:variant>
        <vt:i4>0</vt:i4>
      </vt:variant>
      <vt:variant>
        <vt:i4>5</vt:i4>
      </vt:variant>
      <vt:variant>
        <vt:lpwstr/>
      </vt:variant>
      <vt:variant>
        <vt:lpwstr>_Toc342563719</vt:lpwstr>
      </vt:variant>
      <vt:variant>
        <vt:i4>1310768</vt:i4>
      </vt:variant>
      <vt:variant>
        <vt:i4>104</vt:i4>
      </vt:variant>
      <vt:variant>
        <vt:i4>0</vt:i4>
      </vt:variant>
      <vt:variant>
        <vt:i4>5</vt:i4>
      </vt:variant>
      <vt:variant>
        <vt:lpwstr/>
      </vt:variant>
      <vt:variant>
        <vt:lpwstr>_Toc342563718</vt:lpwstr>
      </vt:variant>
      <vt:variant>
        <vt:i4>1310768</vt:i4>
      </vt:variant>
      <vt:variant>
        <vt:i4>98</vt:i4>
      </vt:variant>
      <vt:variant>
        <vt:i4>0</vt:i4>
      </vt:variant>
      <vt:variant>
        <vt:i4>5</vt:i4>
      </vt:variant>
      <vt:variant>
        <vt:lpwstr/>
      </vt:variant>
      <vt:variant>
        <vt:lpwstr>_Toc342563717</vt:lpwstr>
      </vt:variant>
      <vt:variant>
        <vt:i4>1310768</vt:i4>
      </vt:variant>
      <vt:variant>
        <vt:i4>92</vt:i4>
      </vt:variant>
      <vt:variant>
        <vt:i4>0</vt:i4>
      </vt:variant>
      <vt:variant>
        <vt:i4>5</vt:i4>
      </vt:variant>
      <vt:variant>
        <vt:lpwstr/>
      </vt:variant>
      <vt:variant>
        <vt:lpwstr>_Toc342563716</vt:lpwstr>
      </vt:variant>
      <vt:variant>
        <vt:i4>1310768</vt:i4>
      </vt:variant>
      <vt:variant>
        <vt:i4>86</vt:i4>
      </vt:variant>
      <vt:variant>
        <vt:i4>0</vt:i4>
      </vt:variant>
      <vt:variant>
        <vt:i4>5</vt:i4>
      </vt:variant>
      <vt:variant>
        <vt:lpwstr/>
      </vt:variant>
      <vt:variant>
        <vt:lpwstr>_Toc342563715</vt:lpwstr>
      </vt:variant>
      <vt:variant>
        <vt:i4>1310768</vt:i4>
      </vt:variant>
      <vt:variant>
        <vt:i4>80</vt:i4>
      </vt:variant>
      <vt:variant>
        <vt:i4>0</vt:i4>
      </vt:variant>
      <vt:variant>
        <vt:i4>5</vt:i4>
      </vt:variant>
      <vt:variant>
        <vt:lpwstr/>
      </vt:variant>
      <vt:variant>
        <vt:lpwstr>_Toc342563714</vt:lpwstr>
      </vt:variant>
      <vt:variant>
        <vt:i4>1310768</vt:i4>
      </vt:variant>
      <vt:variant>
        <vt:i4>74</vt:i4>
      </vt:variant>
      <vt:variant>
        <vt:i4>0</vt:i4>
      </vt:variant>
      <vt:variant>
        <vt:i4>5</vt:i4>
      </vt:variant>
      <vt:variant>
        <vt:lpwstr/>
      </vt:variant>
      <vt:variant>
        <vt:lpwstr>_Toc342563713</vt:lpwstr>
      </vt:variant>
      <vt:variant>
        <vt:i4>1310768</vt:i4>
      </vt:variant>
      <vt:variant>
        <vt:i4>68</vt:i4>
      </vt:variant>
      <vt:variant>
        <vt:i4>0</vt:i4>
      </vt:variant>
      <vt:variant>
        <vt:i4>5</vt:i4>
      </vt:variant>
      <vt:variant>
        <vt:lpwstr/>
      </vt:variant>
      <vt:variant>
        <vt:lpwstr>_Toc342563712</vt:lpwstr>
      </vt:variant>
      <vt:variant>
        <vt:i4>1310768</vt:i4>
      </vt:variant>
      <vt:variant>
        <vt:i4>62</vt:i4>
      </vt:variant>
      <vt:variant>
        <vt:i4>0</vt:i4>
      </vt:variant>
      <vt:variant>
        <vt:i4>5</vt:i4>
      </vt:variant>
      <vt:variant>
        <vt:lpwstr/>
      </vt:variant>
      <vt:variant>
        <vt:lpwstr>_Toc342563711</vt:lpwstr>
      </vt:variant>
      <vt:variant>
        <vt:i4>1310768</vt:i4>
      </vt:variant>
      <vt:variant>
        <vt:i4>56</vt:i4>
      </vt:variant>
      <vt:variant>
        <vt:i4>0</vt:i4>
      </vt:variant>
      <vt:variant>
        <vt:i4>5</vt:i4>
      </vt:variant>
      <vt:variant>
        <vt:lpwstr/>
      </vt:variant>
      <vt:variant>
        <vt:lpwstr>_Toc342563710</vt:lpwstr>
      </vt:variant>
      <vt:variant>
        <vt:i4>1376304</vt:i4>
      </vt:variant>
      <vt:variant>
        <vt:i4>50</vt:i4>
      </vt:variant>
      <vt:variant>
        <vt:i4>0</vt:i4>
      </vt:variant>
      <vt:variant>
        <vt:i4>5</vt:i4>
      </vt:variant>
      <vt:variant>
        <vt:lpwstr/>
      </vt:variant>
      <vt:variant>
        <vt:lpwstr>_Toc342563709</vt:lpwstr>
      </vt:variant>
      <vt:variant>
        <vt:i4>1376304</vt:i4>
      </vt:variant>
      <vt:variant>
        <vt:i4>44</vt:i4>
      </vt:variant>
      <vt:variant>
        <vt:i4>0</vt:i4>
      </vt:variant>
      <vt:variant>
        <vt:i4>5</vt:i4>
      </vt:variant>
      <vt:variant>
        <vt:lpwstr/>
      </vt:variant>
      <vt:variant>
        <vt:lpwstr>_Toc342563708</vt:lpwstr>
      </vt:variant>
      <vt:variant>
        <vt:i4>1376304</vt:i4>
      </vt:variant>
      <vt:variant>
        <vt:i4>38</vt:i4>
      </vt:variant>
      <vt:variant>
        <vt:i4>0</vt:i4>
      </vt:variant>
      <vt:variant>
        <vt:i4>5</vt:i4>
      </vt:variant>
      <vt:variant>
        <vt:lpwstr/>
      </vt:variant>
      <vt:variant>
        <vt:lpwstr>_Toc342563707</vt:lpwstr>
      </vt:variant>
      <vt:variant>
        <vt:i4>1376304</vt:i4>
      </vt:variant>
      <vt:variant>
        <vt:i4>32</vt:i4>
      </vt:variant>
      <vt:variant>
        <vt:i4>0</vt:i4>
      </vt:variant>
      <vt:variant>
        <vt:i4>5</vt:i4>
      </vt:variant>
      <vt:variant>
        <vt:lpwstr/>
      </vt:variant>
      <vt:variant>
        <vt:lpwstr>_Toc342563706</vt:lpwstr>
      </vt:variant>
      <vt:variant>
        <vt:i4>1376304</vt:i4>
      </vt:variant>
      <vt:variant>
        <vt:i4>26</vt:i4>
      </vt:variant>
      <vt:variant>
        <vt:i4>0</vt:i4>
      </vt:variant>
      <vt:variant>
        <vt:i4>5</vt:i4>
      </vt:variant>
      <vt:variant>
        <vt:lpwstr/>
      </vt:variant>
      <vt:variant>
        <vt:lpwstr>_Toc342563705</vt:lpwstr>
      </vt:variant>
      <vt:variant>
        <vt:i4>1376304</vt:i4>
      </vt:variant>
      <vt:variant>
        <vt:i4>20</vt:i4>
      </vt:variant>
      <vt:variant>
        <vt:i4>0</vt:i4>
      </vt:variant>
      <vt:variant>
        <vt:i4>5</vt:i4>
      </vt:variant>
      <vt:variant>
        <vt:lpwstr/>
      </vt:variant>
      <vt:variant>
        <vt:lpwstr>_Toc342563704</vt:lpwstr>
      </vt:variant>
      <vt:variant>
        <vt:i4>1376304</vt:i4>
      </vt:variant>
      <vt:variant>
        <vt:i4>14</vt:i4>
      </vt:variant>
      <vt:variant>
        <vt:i4>0</vt:i4>
      </vt:variant>
      <vt:variant>
        <vt:i4>5</vt:i4>
      </vt:variant>
      <vt:variant>
        <vt:lpwstr/>
      </vt:variant>
      <vt:variant>
        <vt:lpwstr>_Toc342563703</vt:lpwstr>
      </vt:variant>
      <vt:variant>
        <vt:i4>1376304</vt:i4>
      </vt:variant>
      <vt:variant>
        <vt:i4>8</vt:i4>
      </vt:variant>
      <vt:variant>
        <vt:i4>0</vt:i4>
      </vt:variant>
      <vt:variant>
        <vt:i4>5</vt:i4>
      </vt:variant>
      <vt:variant>
        <vt:lpwstr/>
      </vt:variant>
      <vt:variant>
        <vt:lpwstr>_Toc342563702</vt:lpwstr>
      </vt:variant>
      <vt:variant>
        <vt:i4>1376304</vt:i4>
      </vt:variant>
      <vt:variant>
        <vt:i4>2</vt:i4>
      </vt:variant>
      <vt:variant>
        <vt:i4>0</vt:i4>
      </vt:variant>
      <vt:variant>
        <vt:i4>5</vt:i4>
      </vt:variant>
      <vt:variant>
        <vt:lpwstr/>
      </vt:variant>
      <vt:variant>
        <vt:lpwstr>_Toc342563701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LongoNS</dc:creator>
  <cp:lastModifiedBy>Anthony J. Finch</cp:lastModifiedBy>
  <cp:revision>7</cp:revision>
  <cp:lastPrinted>2013-01-30T19:42:00Z</cp:lastPrinted>
  <dcterms:created xsi:type="dcterms:W3CDTF">2013-04-03T19:45:00Z</dcterms:created>
  <dcterms:modified xsi:type="dcterms:W3CDTF">2013-04-08T20:16:00Z</dcterms:modified>
</cp:coreProperties>
</file>